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8499" w14:textId="77777777" w:rsidR="00DD7FB1" w:rsidRDefault="002B4A3F" w:rsidP="00EE24D7">
      <w:pPr>
        <w:pStyle w:val="Title"/>
      </w:pPr>
      <w:r>
        <w:t>DATA RETENTION POLICY</w:t>
      </w:r>
    </w:p>
    <w:p w14:paraId="4EEDC5FC" w14:textId="77777777" w:rsidR="00CE2D0B" w:rsidRPr="00C42D44" w:rsidRDefault="00C42D44" w:rsidP="00EE24D7">
      <w:pPr>
        <w:pStyle w:val="Heading2"/>
        <w:spacing w:before="0" w:after="0"/>
        <w:jc w:val="both"/>
        <w:rPr>
          <w:sz w:val="36"/>
        </w:rPr>
      </w:pPr>
      <w:bookmarkStart w:id="0" w:name="_Toc507347047"/>
      <w:r w:rsidRPr="00C42D44">
        <w:rPr>
          <w:sz w:val="36"/>
        </w:rPr>
        <w:t>Purpose</w:t>
      </w:r>
      <w:bookmarkEnd w:id="0"/>
    </w:p>
    <w:p w14:paraId="12D13DAD" w14:textId="77777777" w:rsidR="00296400" w:rsidRDefault="00296400" w:rsidP="00EE24D7">
      <w:pPr>
        <w:ind w:firstLine="0"/>
        <w:jc w:val="both"/>
        <w:rPr>
          <w:color w:val="000000" w:themeColor="text1"/>
        </w:rPr>
      </w:pPr>
    </w:p>
    <w:p w14:paraId="0037C342" w14:textId="286F0359" w:rsidR="00563B95" w:rsidRDefault="00C42D44" w:rsidP="00EE24D7">
      <w:pPr>
        <w:jc w:val="both"/>
        <w:rPr>
          <w:color w:val="000000" w:themeColor="text1"/>
        </w:rPr>
      </w:pPr>
      <w:r>
        <w:rPr>
          <w:color w:val="000000" w:themeColor="text1"/>
        </w:rPr>
        <w:t xml:space="preserve">This document sets out the data retention </w:t>
      </w:r>
      <w:r w:rsidR="00960BE3">
        <w:rPr>
          <w:color w:val="000000" w:themeColor="text1"/>
        </w:rPr>
        <w:t xml:space="preserve">guidelines </w:t>
      </w:r>
      <w:r w:rsidR="00957393" w:rsidRPr="00957393">
        <w:rPr>
          <w:color w:val="000000" w:themeColor="text1"/>
        </w:rPr>
        <w:t>for retaining d</w:t>
      </w:r>
      <w:r w:rsidR="00960BE3">
        <w:rPr>
          <w:color w:val="000000" w:themeColor="text1"/>
        </w:rPr>
        <w:t xml:space="preserve">ifferent types of personal data within our company.  </w:t>
      </w:r>
      <w:r w:rsidR="008F740D" w:rsidRPr="008F740D">
        <w:rPr>
          <w:color w:val="000000" w:themeColor="text1"/>
        </w:rPr>
        <w:t xml:space="preserve">The policy </w:t>
      </w:r>
      <w:r w:rsidR="00960BE3">
        <w:rPr>
          <w:color w:val="000000" w:themeColor="text1"/>
        </w:rPr>
        <w:t xml:space="preserve">applies to </w:t>
      </w:r>
      <w:r w:rsidR="008F740D" w:rsidRPr="008F740D">
        <w:rPr>
          <w:color w:val="000000" w:themeColor="text1"/>
        </w:rPr>
        <w:t>all</w:t>
      </w:r>
      <w:r w:rsidR="00960BE3">
        <w:rPr>
          <w:color w:val="000000" w:themeColor="text1"/>
        </w:rPr>
        <w:t xml:space="preserve"> </w:t>
      </w:r>
      <w:r w:rsidR="008F740D">
        <w:rPr>
          <w:color w:val="000000" w:themeColor="text1"/>
        </w:rPr>
        <w:t xml:space="preserve">personal </w:t>
      </w:r>
      <w:r w:rsidR="008F740D" w:rsidRPr="008F740D">
        <w:rPr>
          <w:color w:val="000000" w:themeColor="text1"/>
        </w:rPr>
        <w:t>data stored on company-owned, company-leased, and otherwise company-provided systems and media, regardless of location.</w:t>
      </w:r>
      <w:r w:rsidR="00563B95" w:rsidRPr="00563B95">
        <w:rPr>
          <w:color w:val="000000" w:themeColor="text1"/>
        </w:rPr>
        <w:t xml:space="preserve"> These records may be created, </w:t>
      </w:r>
      <w:proofErr w:type="gramStart"/>
      <w:r w:rsidR="00563B95" w:rsidRPr="00563B95">
        <w:rPr>
          <w:color w:val="000000" w:themeColor="text1"/>
        </w:rPr>
        <w:t>received</w:t>
      </w:r>
      <w:proofErr w:type="gramEnd"/>
      <w:r w:rsidR="00563B95" w:rsidRPr="00563B95">
        <w:rPr>
          <w:color w:val="000000" w:themeColor="text1"/>
        </w:rPr>
        <w:t xml:space="preserve"> or maintained in hard copy or electronically.</w:t>
      </w:r>
    </w:p>
    <w:p w14:paraId="45E03C3B" w14:textId="77777777" w:rsidR="003B5892" w:rsidRPr="00960BE3" w:rsidRDefault="003B5892" w:rsidP="00EE24D7">
      <w:pPr>
        <w:jc w:val="both"/>
        <w:rPr>
          <w:color w:val="000000" w:themeColor="text1"/>
        </w:rPr>
      </w:pPr>
    </w:p>
    <w:p w14:paraId="764A714C" w14:textId="77777777" w:rsidR="00CE2D0B" w:rsidRPr="00960BE3" w:rsidRDefault="00960BE3" w:rsidP="00EE24D7">
      <w:pPr>
        <w:pStyle w:val="Heading1"/>
        <w:spacing w:before="0" w:after="0"/>
        <w:jc w:val="both"/>
      </w:pPr>
      <w:bookmarkStart w:id="1" w:name="_Toc507347049"/>
      <w:r w:rsidRPr="00960BE3">
        <w:t>Policy Statement</w:t>
      </w:r>
      <w:bookmarkEnd w:id="1"/>
    </w:p>
    <w:p w14:paraId="20E964E7" w14:textId="77777777" w:rsidR="00296400" w:rsidRDefault="00296400" w:rsidP="00EE24D7">
      <w:pPr>
        <w:jc w:val="both"/>
      </w:pPr>
    </w:p>
    <w:p w14:paraId="34D0B02F" w14:textId="277EB492" w:rsidR="00296400" w:rsidRDefault="00960BE3" w:rsidP="00EE24D7">
      <w:pPr>
        <w:jc w:val="both"/>
      </w:pPr>
      <w:r>
        <w:t xml:space="preserve">The retention of data by our company varies from piece of data to piece of data.  </w:t>
      </w:r>
      <w:r w:rsidR="006C61B8">
        <w:t>I</w:t>
      </w:r>
      <w:r>
        <w:t xml:space="preserve">t is our objective that data is deleted as quickly as possible once the purpose for which </w:t>
      </w:r>
      <w:r w:rsidR="006C61B8">
        <w:t>i</w:t>
      </w:r>
      <w:r>
        <w:t xml:space="preserve">t was collected has been served and expired.  </w:t>
      </w:r>
    </w:p>
    <w:p w14:paraId="4503D2BE" w14:textId="77777777" w:rsidR="00296400" w:rsidRDefault="00296400" w:rsidP="00EE24D7">
      <w:pPr>
        <w:jc w:val="both"/>
      </w:pPr>
    </w:p>
    <w:p w14:paraId="3EB88A6E" w14:textId="26878832" w:rsidR="000D611F" w:rsidRDefault="00960BE3" w:rsidP="00EE24D7">
      <w:pPr>
        <w:jc w:val="both"/>
      </w:pPr>
      <w:r>
        <w:t xml:space="preserve">However, the company must comply with various statutory responsibilities and obligations and therefore immediate deletion is not always achievable.  </w:t>
      </w:r>
      <w:r w:rsidR="000D611F" w:rsidRPr="000D611F">
        <w:t>This Data Retention Policy provides guidelines to ensure that all applicable regulations and</w:t>
      </w:r>
      <w:r>
        <w:t xml:space="preserve"> </w:t>
      </w:r>
      <w:r w:rsidR="000D611F" w:rsidRPr="000D611F">
        <w:t>rules on personal data retention are consistently applied throughout the organisation.</w:t>
      </w:r>
    </w:p>
    <w:p w14:paraId="38809D76" w14:textId="77777777" w:rsidR="00514A3C" w:rsidRDefault="00514A3C" w:rsidP="00EE24D7">
      <w:pPr>
        <w:jc w:val="both"/>
      </w:pPr>
    </w:p>
    <w:p w14:paraId="48A37BC5" w14:textId="77777777" w:rsidR="00CE2D0B" w:rsidRPr="00960BE3" w:rsidRDefault="00D62545" w:rsidP="00EE24D7">
      <w:pPr>
        <w:pStyle w:val="Heading2"/>
        <w:spacing w:before="0" w:after="0"/>
        <w:jc w:val="both"/>
      </w:pPr>
      <w:bookmarkStart w:id="2" w:name="_Toc507347050"/>
      <w:r w:rsidRPr="00960BE3">
        <w:t>Reasons for data retention</w:t>
      </w:r>
      <w:bookmarkEnd w:id="2"/>
    </w:p>
    <w:p w14:paraId="4526E209" w14:textId="63185624" w:rsidR="00296400" w:rsidRPr="00304F3A" w:rsidRDefault="001D5887" w:rsidP="00EE24D7">
      <w:pPr>
        <w:jc w:val="both"/>
      </w:pPr>
      <w:r w:rsidRPr="001D5887">
        <w:t xml:space="preserve">Some personal data must be retained </w:t>
      </w:r>
      <w:proofErr w:type="gramStart"/>
      <w:r w:rsidRPr="001D5887">
        <w:t>in order to</w:t>
      </w:r>
      <w:proofErr w:type="gramEnd"/>
      <w:r w:rsidRPr="001D5887">
        <w:t xml:space="preserve"> protect the company's interests, comply with regulatory requirements, preserve evidence, and generally conform to good business practices. </w:t>
      </w:r>
      <w:r>
        <w:t>P</w:t>
      </w:r>
      <w:r w:rsidR="00304F3A" w:rsidRPr="00304F3A">
        <w:t>ersonal data may be retained for one or several of the following reasons:</w:t>
      </w:r>
    </w:p>
    <w:p w14:paraId="7FBA5559" w14:textId="77777777" w:rsidR="00862BD8" w:rsidRDefault="00862BD8" w:rsidP="00EE24D7">
      <w:pPr>
        <w:pStyle w:val="ListParagraph"/>
        <w:numPr>
          <w:ilvl w:val="1"/>
          <w:numId w:val="17"/>
        </w:numPr>
        <w:ind w:left="864" w:hanging="288"/>
        <w:jc w:val="both"/>
      </w:pPr>
      <w:r>
        <w:t>Business requirements</w:t>
      </w:r>
    </w:p>
    <w:p w14:paraId="2A692E9F" w14:textId="77777777" w:rsidR="00862BD8" w:rsidRDefault="00862BD8" w:rsidP="00EE24D7">
      <w:pPr>
        <w:pStyle w:val="ListParagraph"/>
        <w:numPr>
          <w:ilvl w:val="1"/>
          <w:numId w:val="17"/>
        </w:numPr>
        <w:ind w:left="864" w:hanging="288"/>
        <w:jc w:val="both"/>
      </w:pPr>
      <w:r>
        <w:t>Regulatory requirements</w:t>
      </w:r>
    </w:p>
    <w:p w14:paraId="202E43D5" w14:textId="77777777" w:rsidR="00304F3A" w:rsidRDefault="00862BD8" w:rsidP="00EE24D7">
      <w:pPr>
        <w:pStyle w:val="ListParagraph"/>
        <w:numPr>
          <w:ilvl w:val="1"/>
          <w:numId w:val="17"/>
        </w:numPr>
        <w:ind w:left="864" w:hanging="288"/>
        <w:jc w:val="both"/>
      </w:pPr>
      <w:r>
        <w:t>Possible l</w:t>
      </w:r>
      <w:r w:rsidR="00304F3A">
        <w:t>itigation</w:t>
      </w:r>
    </w:p>
    <w:p w14:paraId="29ED1374" w14:textId="77777777" w:rsidR="00304F3A" w:rsidRDefault="00304F3A" w:rsidP="00EE24D7">
      <w:pPr>
        <w:pStyle w:val="ListParagraph"/>
        <w:numPr>
          <w:ilvl w:val="1"/>
          <w:numId w:val="17"/>
        </w:numPr>
        <w:ind w:left="864" w:hanging="288"/>
        <w:jc w:val="both"/>
      </w:pPr>
      <w:r>
        <w:t>Accident investigation</w:t>
      </w:r>
    </w:p>
    <w:p w14:paraId="07101127" w14:textId="77777777" w:rsidR="00304F3A" w:rsidRDefault="00304F3A" w:rsidP="00EE24D7">
      <w:pPr>
        <w:pStyle w:val="ListParagraph"/>
        <w:numPr>
          <w:ilvl w:val="1"/>
          <w:numId w:val="17"/>
        </w:numPr>
        <w:ind w:left="864" w:hanging="288"/>
        <w:jc w:val="both"/>
      </w:pPr>
      <w:r>
        <w:t>Security incident investigation</w:t>
      </w:r>
    </w:p>
    <w:p w14:paraId="0E6EA7A3" w14:textId="77777777" w:rsidR="00CE2D0B" w:rsidRPr="00960BE3" w:rsidRDefault="00304F3A" w:rsidP="00EE24D7">
      <w:pPr>
        <w:pStyle w:val="ListParagraph"/>
        <w:numPr>
          <w:ilvl w:val="1"/>
          <w:numId w:val="17"/>
        </w:numPr>
        <w:ind w:left="864" w:hanging="288"/>
        <w:jc w:val="both"/>
      </w:pPr>
      <w:r>
        <w:t>Intellectual property preservation</w:t>
      </w:r>
      <w:bookmarkStart w:id="3" w:name="_Toc451501016"/>
    </w:p>
    <w:p w14:paraId="1B18D5EF" w14:textId="77777777" w:rsidR="00514A3C" w:rsidRDefault="00514A3C" w:rsidP="00EE24D7">
      <w:pPr>
        <w:pStyle w:val="Heading2"/>
        <w:spacing w:before="0" w:after="0"/>
        <w:jc w:val="both"/>
      </w:pPr>
      <w:bookmarkStart w:id="4" w:name="_Toc507347051"/>
      <w:bookmarkEnd w:id="3"/>
    </w:p>
    <w:p w14:paraId="4621E0F8" w14:textId="37ADA17C" w:rsidR="00CE2D0B" w:rsidRDefault="00A13FB1" w:rsidP="00EE24D7">
      <w:pPr>
        <w:pStyle w:val="Heading2"/>
        <w:spacing w:before="0" w:after="0"/>
        <w:jc w:val="both"/>
      </w:pPr>
      <w:r>
        <w:t xml:space="preserve">Retention </w:t>
      </w:r>
      <w:r w:rsidR="00D106AD">
        <w:t>periods</w:t>
      </w:r>
      <w:bookmarkEnd w:id="4"/>
    </w:p>
    <w:p w14:paraId="1CC0723F" w14:textId="77777777" w:rsidR="00296400" w:rsidRPr="00296400" w:rsidRDefault="00296400" w:rsidP="00EE24D7">
      <w:pPr>
        <w:jc w:val="both"/>
      </w:pPr>
    </w:p>
    <w:tbl>
      <w:tblPr>
        <w:tblStyle w:val="TableGrid"/>
        <w:tblW w:w="0" w:type="auto"/>
        <w:tblLook w:val="04A0" w:firstRow="1" w:lastRow="0" w:firstColumn="1" w:lastColumn="0" w:noHBand="0" w:noVBand="1"/>
      </w:tblPr>
      <w:tblGrid>
        <w:gridCol w:w="4531"/>
        <w:gridCol w:w="5529"/>
      </w:tblGrid>
      <w:tr w:rsidR="00960BE3" w:rsidRPr="008114EC" w14:paraId="3BEEBDFF" w14:textId="77777777" w:rsidTr="008114EC">
        <w:tc>
          <w:tcPr>
            <w:tcW w:w="4531" w:type="dxa"/>
            <w:shd w:val="clear" w:color="auto" w:fill="BFBFBF" w:themeFill="background1" w:themeFillShade="BF"/>
          </w:tcPr>
          <w:p w14:paraId="1DEBA0CC" w14:textId="77777777" w:rsidR="00960BE3" w:rsidRPr="008114EC" w:rsidRDefault="00960BE3" w:rsidP="00EE24D7">
            <w:pPr>
              <w:ind w:firstLine="0"/>
              <w:jc w:val="both"/>
              <w:rPr>
                <w:rFonts w:asciiTheme="minorHAnsi" w:hAnsiTheme="minorHAnsi"/>
                <w:b/>
              </w:rPr>
            </w:pPr>
            <w:r w:rsidRPr="008114EC">
              <w:rPr>
                <w:rFonts w:asciiTheme="minorHAnsi" w:hAnsiTheme="minorHAnsi"/>
                <w:b/>
              </w:rPr>
              <w:t>Source of Obligation</w:t>
            </w:r>
          </w:p>
        </w:tc>
        <w:tc>
          <w:tcPr>
            <w:tcW w:w="5529" w:type="dxa"/>
            <w:shd w:val="clear" w:color="auto" w:fill="BFBFBF" w:themeFill="background1" w:themeFillShade="BF"/>
          </w:tcPr>
          <w:p w14:paraId="738477A4" w14:textId="77777777" w:rsidR="00960BE3" w:rsidRPr="008114EC" w:rsidRDefault="00960BE3" w:rsidP="00EE24D7">
            <w:pPr>
              <w:jc w:val="both"/>
              <w:rPr>
                <w:rFonts w:asciiTheme="minorHAnsi" w:hAnsiTheme="minorHAnsi"/>
                <w:b/>
              </w:rPr>
            </w:pPr>
            <w:r w:rsidRPr="008114EC">
              <w:rPr>
                <w:rFonts w:asciiTheme="minorHAnsi" w:hAnsiTheme="minorHAnsi"/>
                <w:b/>
              </w:rPr>
              <w:t>Retention Period</w:t>
            </w:r>
          </w:p>
        </w:tc>
      </w:tr>
      <w:tr w:rsidR="00960BE3" w:rsidRPr="008114EC" w14:paraId="6DBBC1FA" w14:textId="77777777" w:rsidTr="008114EC">
        <w:tc>
          <w:tcPr>
            <w:tcW w:w="4531" w:type="dxa"/>
          </w:tcPr>
          <w:p w14:paraId="50FBBD5F" w14:textId="77777777" w:rsidR="00960BE3" w:rsidRPr="008114EC" w:rsidRDefault="00960BE3" w:rsidP="00EE24D7">
            <w:pPr>
              <w:ind w:firstLine="0"/>
              <w:jc w:val="both"/>
              <w:rPr>
                <w:rFonts w:asciiTheme="minorHAnsi" w:hAnsiTheme="minorHAnsi"/>
              </w:rPr>
            </w:pPr>
            <w:r w:rsidRPr="008114EC">
              <w:rPr>
                <w:rFonts w:asciiTheme="minorHAnsi" w:hAnsiTheme="minorHAnsi"/>
              </w:rPr>
              <w:t>Revenue Commissioners, Collector General, Companies Acts legislative provisions</w:t>
            </w:r>
          </w:p>
        </w:tc>
        <w:tc>
          <w:tcPr>
            <w:tcW w:w="5529" w:type="dxa"/>
          </w:tcPr>
          <w:p w14:paraId="649CC844" w14:textId="77777777" w:rsidR="00960BE3" w:rsidRPr="008114EC" w:rsidRDefault="00960BE3" w:rsidP="00EE24D7">
            <w:pPr>
              <w:jc w:val="both"/>
              <w:rPr>
                <w:rFonts w:asciiTheme="minorHAnsi" w:hAnsiTheme="minorHAnsi"/>
              </w:rPr>
            </w:pPr>
            <w:r w:rsidRPr="008114EC">
              <w:rPr>
                <w:rFonts w:asciiTheme="minorHAnsi" w:hAnsiTheme="minorHAnsi"/>
              </w:rPr>
              <w:t>6 years rolling retention of records</w:t>
            </w:r>
          </w:p>
        </w:tc>
      </w:tr>
      <w:tr w:rsidR="00960BE3" w:rsidRPr="008114EC" w14:paraId="724DDA15" w14:textId="77777777" w:rsidTr="008114EC">
        <w:tc>
          <w:tcPr>
            <w:tcW w:w="4531" w:type="dxa"/>
          </w:tcPr>
          <w:p w14:paraId="570D7587" w14:textId="77777777" w:rsidR="00960BE3" w:rsidRPr="008114EC" w:rsidRDefault="00960BE3" w:rsidP="00EE24D7">
            <w:pPr>
              <w:ind w:firstLine="0"/>
              <w:jc w:val="both"/>
              <w:rPr>
                <w:rFonts w:asciiTheme="minorHAnsi" w:hAnsiTheme="minorHAnsi"/>
              </w:rPr>
            </w:pPr>
            <w:r w:rsidRPr="008114EC">
              <w:rPr>
                <w:rFonts w:asciiTheme="minorHAnsi" w:hAnsiTheme="minorHAnsi"/>
              </w:rPr>
              <w:t>Personal Injuries related records</w:t>
            </w:r>
          </w:p>
        </w:tc>
        <w:tc>
          <w:tcPr>
            <w:tcW w:w="5529" w:type="dxa"/>
          </w:tcPr>
          <w:p w14:paraId="3A62907D" w14:textId="77777777" w:rsidR="00960BE3" w:rsidRPr="008114EC" w:rsidRDefault="00960BE3" w:rsidP="001C3249">
            <w:pPr>
              <w:ind w:firstLine="5"/>
              <w:jc w:val="both"/>
              <w:rPr>
                <w:rFonts w:asciiTheme="minorHAnsi" w:hAnsiTheme="minorHAnsi"/>
              </w:rPr>
            </w:pPr>
            <w:r w:rsidRPr="008114EC">
              <w:rPr>
                <w:rFonts w:asciiTheme="minorHAnsi" w:hAnsiTheme="minorHAnsi"/>
              </w:rPr>
              <w:t>Records are retained for a period of 3 years past the date of the cause of action, unless it involves a minor, in which case the retention period will be up until 3 years after the minor reaches the age of 18.</w:t>
            </w:r>
          </w:p>
        </w:tc>
      </w:tr>
      <w:tr w:rsidR="00960BE3" w:rsidRPr="008114EC" w14:paraId="7524E781" w14:textId="77777777" w:rsidTr="008114EC">
        <w:tc>
          <w:tcPr>
            <w:tcW w:w="4531" w:type="dxa"/>
          </w:tcPr>
          <w:p w14:paraId="2FB44D31" w14:textId="77777777" w:rsidR="00960BE3" w:rsidRPr="008114EC" w:rsidRDefault="00960BE3" w:rsidP="00EE24D7">
            <w:pPr>
              <w:ind w:firstLine="0"/>
              <w:jc w:val="both"/>
              <w:rPr>
                <w:rFonts w:asciiTheme="minorHAnsi" w:hAnsiTheme="minorHAnsi"/>
              </w:rPr>
            </w:pPr>
            <w:r w:rsidRPr="008114EC">
              <w:rPr>
                <w:rFonts w:asciiTheme="minorHAnsi" w:hAnsiTheme="minorHAnsi"/>
              </w:rPr>
              <w:t>Breach of Contract related records</w:t>
            </w:r>
          </w:p>
        </w:tc>
        <w:tc>
          <w:tcPr>
            <w:tcW w:w="5529" w:type="dxa"/>
          </w:tcPr>
          <w:p w14:paraId="33022A7E" w14:textId="77777777" w:rsidR="00960BE3" w:rsidRPr="008114EC" w:rsidRDefault="00960BE3" w:rsidP="001C3249">
            <w:pPr>
              <w:ind w:firstLine="5"/>
              <w:jc w:val="both"/>
              <w:rPr>
                <w:rFonts w:asciiTheme="minorHAnsi" w:hAnsiTheme="minorHAnsi"/>
              </w:rPr>
            </w:pPr>
            <w:r w:rsidRPr="008114EC">
              <w:rPr>
                <w:rFonts w:asciiTheme="minorHAnsi" w:hAnsiTheme="minorHAnsi"/>
              </w:rPr>
              <w:t>Records are retained 6 years from the date of the breach</w:t>
            </w:r>
          </w:p>
        </w:tc>
      </w:tr>
      <w:tr w:rsidR="001C3249" w:rsidRPr="008114EC" w14:paraId="769A41DF" w14:textId="77777777" w:rsidTr="008114EC">
        <w:tc>
          <w:tcPr>
            <w:tcW w:w="4531" w:type="dxa"/>
          </w:tcPr>
          <w:p w14:paraId="16B1E3B8" w14:textId="5133C2C5" w:rsidR="001C3249" w:rsidRPr="001C3249" w:rsidRDefault="001C3249" w:rsidP="00EE24D7">
            <w:pPr>
              <w:ind w:firstLine="0"/>
              <w:jc w:val="both"/>
              <w:rPr>
                <w:rFonts w:asciiTheme="minorHAnsi" w:hAnsiTheme="minorHAnsi" w:cstheme="minorHAnsi"/>
              </w:rPr>
            </w:pPr>
            <w:r w:rsidRPr="001C3249">
              <w:rPr>
                <w:rFonts w:asciiTheme="minorHAnsi" w:hAnsiTheme="minorHAnsi" w:cstheme="minorHAnsi"/>
              </w:rPr>
              <w:t xml:space="preserve">Membership Application Forms </w:t>
            </w:r>
          </w:p>
        </w:tc>
        <w:tc>
          <w:tcPr>
            <w:tcW w:w="5529" w:type="dxa"/>
          </w:tcPr>
          <w:p w14:paraId="4179BED1" w14:textId="67389A09" w:rsidR="001C3249" w:rsidRPr="001C3249" w:rsidRDefault="001C3249" w:rsidP="001C3249">
            <w:pPr>
              <w:ind w:firstLine="5"/>
              <w:jc w:val="both"/>
              <w:rPr>
                <w:rFonts w:asciiTheme="minorHAnsi" w:hAnsiTheme="minorHAnsi" w:cstheme="minorHAnsi"/>
              </w:rPr>
            </w:pPr>
            <w:r>
              <w:rPr>
                <w:rFonts w:asciiTheme="minorHAnsi" w:hAnsiTheme="minorHAnsi" w:cstheme="minorHAnsi"/>
              </w:rPr>
              <w:t>Membership Application Forms are retained for the duration of their membership and for 12 months after the membership has finished or completed.</w:t>
            </w:r>
          </w:p>
        </w:tc>
      </w:tr>
      <w:tr w:rsidR="00960BE3" w:rsidRPr="008114EC" w14:paraId="52F3AC80" w14:textId="77777777" w:rsidTr="008114EC">
        <w:tc>
          <w:tcPr>
            <w:tcW w:w="4531" w:type="dxa"/>
          </w:tcPr>
          <w:p w14:paraId="627FA9EC" w14:textId="77777777" w:rsidR="00960BE3" w:rsidRPr="008114EC" w:rsidRDefault="00960BE3" w:rsidP="00EE24D7">
            <w:pPr>
              <w:ind w:firstLine="0"/>
              <w:jc w:val="both"/>
              <w:rPr>
                <w:rFonts w:asciiTheme="minorHAnsi" w:hAnsiTheme="minorHAnsi"/>
              </w:rPr>
            </w:pPr>
            <w:r w:rsidRPr="008114EC">
              <w:rPr>
                <w:rFonts w:asciiTheme="minorHAnsi" w:hAnsiTheme="minorHAnsi"/>
              </w:rPr>
              <w:t xml:space="preserve">Employment contract/terms of employment related information </w:t>
            </w:r>
          </w:p>
        </w:tc>
        <w:tc>
          <w:tcPr>
            <w:tcW w:w="5529" w:type="dxa"/>
          </w:tcPr>
          <w:p w14:paraId="56A6AACF" w14:textId="77777777" w:rsidR="00960BE3" w:rsidRPr="008114EC" w:rsidRDefault="00960BE3" w:rsidP="001C3249">
            <w:pPr>
              <w:ind w:firstLine="5"/>
              <w:jc w:val="both"/>
              <w:rPr>
                <w:rFonts w:asciiTheme="minorHAnsi" w:hAnsiTheme="minorHAnsi"/>
              </w:rPr>
            </w:pPr>
            <w:r w:rsidRPr="008114EC">
              <w:rPr>
                <w:rFonts w:asciiTheme="minorHAnsi" w:hAnsiTheme="minorHAnsi"/>
              </w:rPr>
              <w:t>Duration of the employment – this includes everything from the application form, interview notes, contract related, performance appraisals, references</w:t>
            </w:r>
            <w:r w:rsidR="00296400">
              <w:rPr>
                <w:rFonts w:asciiTheme="minorHAnsi" w:hAnsiTheme="minorHAnsi"/>
              </w:rPr>
              <w:t xml:space="preserve">, the retention period will be the duration of employment.  </w:t>
            </w:r>
          </w:p>
        </w:tc>
      </w:tr>
      <w:tr w:rsidR="00296400" w:rsidRPr="00296400" w14:paraId="76991FD1" w14:textId="77777777" w:rsidTr="008114EC">
        <w:tc>
          <w:tcPr>
            <w:tcW w:w="4531" w:type="dxa"/>
          </w:tcPr>
          <w:p w14:paraId="692D9A84" w14:textId="77777777" w:rsidR="00296400" w:rsidRPr="00296400" w:rsidRDefault="00296400" w:rsidP="00EE24D7">
            <w:pPr>
              <w:ind w:firstLine="0"/>
              <w:jc w:val="both"/>
              <w:rPr>
                <w:rFonts w:asciiTheme="minorHAnsi" w:hAnsiTheme="minorHAnsi"/>
              </w:rPr>
            </w:pPr>
            <w:r w:rsidRPr="00296400">
              <w:rPr>
                <w:rFonts w:asciiTheme="minorHAnsi" w:hAnsiTheme="minorHAnsi"/>
              </w:rPr>
              <w:t>Disciplinary</w:t>
            </w:r>
            <w:r>
              <w:rPr>
                <w:rFonts w:asciiTheme="minorHAnsi" w:hAnsiTheme="minorHAnsi"/>
              </w:rPr>
              <w:t>/Grievance Documentation</w:t>
            </w:r>
          </w:p>
        </w:tc>
        <w:tc>
          <w:tcPr>
            <w:tcW w:w="5529" w:type="dxa"/>
          </w:tcPr>
          <w:p w14:paraId="158DA900" w14:textId="77777777" w:rsidR="00296400" w:rsidRPr="00296400" w:rsidRDefault="00296400" w:rsidP="001C3249">
            <w:pPr>
              <w:ind w:firstLine="5"/>
              <w:jc w:val="both"/>
              <w:rPr>
                <w:rFonts w:asciiTheme="minorHAnsi" w:hAnsiTheme="minorHAnsi"/>
              </w:rPr>
            </w:pPr>
            <w:r>
              <w:rPr>
                <w:rFonts w:asciiTheme="minorHAnsi" w:hAnsiTheme="minorHAnsi"/>
              </w:rPr>
              <w:t>Retained for the duration of the employment of the relevant parties</w:t>
            </w:r>
          </w:p>
        </w:tc>
      </w:tr>
      <w:tr w:rsidR="00960BE3" w:rsidRPr="008114EC" w14:paraId="35496B80" w14:textId="77777777" w:rsidTr="008114EC">
        <w:tc>
          <w:tcPr>
            <w:tcW w:w="4531" w:type="dxa"/>
          </w:tcPr>
          <w:p w14:paraId="6B668551" w14:textId="77777777" w:rsidR="00960BE3" w:rsidRPr="008114EC" w:rsidRDefault="00960BE3" w:rsidP="00EE24D7">
            <w:pPr>
              <w:ind w:firstLine="0"/>
              <w:jc w:val="both"/>
              <w:rPr>
                <w:rFonts w:asciiTheme="minorHAnsi" w:hAnsiTheme="minorHAnsi"/>
              </w:rPr>
            </w:pPr>
            <w:r w:rsidRPr="008114EC">
              <w:rPr>
                <w:rFonts w:asciiTheme="minorHAnsi" w:hAnsiTheme="minorHAnsi"/>
              </w:rPr>
              <w:t>Organisation of Working Time – time sheets/holiday and public holiday records</w:t>
            </w:r>
          </w:p>
          <w:p w14:paraId="57155FF2" w14:textId="77777777" w:rsidR="00960BE3" w:rsidRPr="008114EC" w:rsidRDefault="00960BE3" w:rsidP="00EE24D7">
            <w:pPr>
              <w:ind w:firstLine="0"/>
              <w:jc w:val="both"/>
              <w:rPr>
                <w:rFonts w:asciiTheme="minorHAnsi" w:hAnsiTheme="minorHAnsi"/>
              </w:rPr>
            </w:pPr>
            <w:r w:rsidRPr="008114EC">
              <w:rPr>
                <w:rFonts w:asciiTheme="minorHAnsi" w:hAnsiTheme="minorHAnsi"/>
              </w:rPr>
              <w:t>National Minimum Wages</w:t>
            </w:r>
          </w:p>
          <w:p w14:paraId="6A0EB9ED" w14:textId="77777777" w:rsidR="00960BE3" w:rsidRPr="008114EC" w:rsidRDefault="00960BE3" w:rsidP="00EE24D7">
            <w:pPr>
              <w:ind w:firstLine="0"/>
              <w:jc w:val="both"/>
              <w:rPr>
                <w:rFonts w:asciiTheme="minorHAnsi" w:hAnsiTheme="minorHAnsi"/>
              </w:rPr>
            </w:pPr>
            <w:r w:rsidRPr="008114EC">
              <w:rPr>
                <w:rFonts w:asciiTheme="minorHAnsi" w:hAnsiTheme="minorHAnsi"/>
              </w:rPr>
              <w:t>Protection of Employment – Temporary Agency Workers, Part Time Workers, Fixed Term Workers</w:t>
            </w:r>
          </w:p>
          <w:p w14:paraId="51FFB255" w14:textId="77777777" w:rsidR="00960BE3" w:rsidRPr="008114EC" w:rsidRDefault="00960BE3" w:rsidP="00EE24D7">
            <w:pPr>
              <w:ind w:firstLine="0"/>
              <w:jc w:val="both"/>
              <w:rPr>
                <w:rFonts w:asciiTheme="minorHAnsi" w:hAnsiTheme="minorHAnsi"/>
              </w:rPr>
            </w:pPr>
            <w:r w:rsidRPr="008114EC">
              <w:rPr>
                <w:rFonts w:asciiTheme="minorHAnsi" w:hAnsiTheme="minorHAnsi"/>
              </w:rPr>
              <w:t>Protection of Young Persons</w:t>
            </w:r>
          </w:p>
        </w:tc>
        <w:tc>
          <w:tcPr>
            <w:tcW w:w="5529" w:type="dxa"/>
          </w:tcPr>
          <w:p w14:paraId="59693CAC" w14:textId="77777777" w:rsidR="00960BE3" w:rsidRPr="008114EC" w:rsidRDefault="00960BE3" w:rsidP="001C3249">
            <w:pPr>
              <w:ind w:firstLine="5"/>
              <w:jc w:val="both"/>
              <w:rPr>
                <w:rFonts w:asciiTheme="minorHAnsi" w:hAnsiTheme="minorHAnsi"/>
              </w:rPr>
            </w:pPr>
            <w:r w:rsidRPr="008114EC">
              <w:rPr>
                <w:rFonts w:asciiTheme="minorHAnsi" w:hAnsiTheme="minorHAnsi"/>
              </w:rPr>
              <w:t>3 years post the termination of the employment.  Records kept are sufficient to show compliance with legal obligations in accordance with the statutory provisions.</w:t>
            </w:r>
          </w:p>
        </w:tc>
      </w:tr>
      <w:tr w:rsidR="00960BE3" w:rsidRPr="008114EC" w14:paraId="455EBEFE" w14:textId="77777777" w:rsidTr="008114EC">
        <w:tc>
          <w:tcPr>
            <w:tcW w:w="4531" w:type="dxa"/>
          </w:tcPr>
          <w:p w14:paraId="5CADDF3F" w14:textId="77777777" w:rsidR="00960BE3" w:rsidRPr="008114EC" w:rsidRDefault="00960BE3" w:rsidP="00EE24D7">
            <w:pPr>
              <w:ind w:firstLine="0"/>
              <w:jc w:val="both"/>
              <w:rPr>
                <w:rFonts w:asciiTheme="minorHAnsi" w:hAnsiTheme="minorHAnsi"/>
              </w:rPr>
            </w:pPr>
            <w:r w:rsidRPr="008114EC">
              <w:rPr>
                <w:rFonts w:asciiTheme="minorHAnsi" w:hAnsiTheme="minorHAnsi"/>
              </w:rPr>
              <w:t>Parental Leave Related</w:t>
            </w:r>
          </w:p>
        </w:tc>
        <w:tc>
          <w:tcPr>
            <w:tcW w:w="5529" w:type="dxa"/>
          </w:tcPr>
          <w:p w14:paraId="155A543F" w14:textId="77777777" w:rsidR="00960BE3" w:rsidRPr="008114EC" w:rsidRDefault="00960BE3" w:rsidP="001C3249">
            <w:pPr>
              <w:ind w:firstLine="5"/>
              <w:jc w:val="both"/>
              <w:rPr>
                <w:rFonts w:asciiTheme="minorHAnsi" w:hAnsiTheme="minorHAnsi"/>
              </w:rPr>
            </w:pPr>
            <w:r w:rsidRPr="008114EC">
              <w:rPr>
                <w:rFonts w:asciiTheme="minorHAnsi" w:hAnsiTheme="minorHAnsi"/>
              </w:rPr>
              <w:t>8 years – records kept show the dates when a qualifying employee availed of the parental leave and force majeure leave provisions</w:t>
            </w:r>
          </w:p>
        </w:tc>
      </w:tr>
      <w:tr w:rsidR="00960BE3" w:rsidRPr="008114EC" w14:paraId="293CCAA7" w14:textId="77777777" w:rsidTr="008114EC">
        <w:tc>
          <w:tcPr>
            <w:tcW w:w="4531" w:type="dxa"/>
          </w:tcPr>
          <w:p w14:paraId="5ED1E266" w14:textId="77777777" w:rsidR="00960BE3" w:rsidRPr="008114EC" w:rsidRDefault="00960BE3" w:rsidP="00EE24D7">
            <w:pPr>
              <w:ind w:firstLine="0"/>
              <w:jc w:val="both"/>
              <w:rPr>
                <w:rFonts w:asciiTheme="minorHAnsi" w:hAnsiTheme="minorHAnsi"/>
              </w:rPr>
            </w:pPr>
            <w:r w:rsidRPr="008114EC">
              <w:rPr>
                <w:rFonts w:asciiTheme="minorHAnsi" w:hAnsiTheme="minorHAnsi"/>
              </w:rPr>
              <w:t>Employment Equality</w:t>
            </w:r>
          </w:p>
        </w:tc>
        <w:tc>
          <w:tcPr>
            <w:tcW w:w="5529" w:type="dxa"/>
          </w:tcPr>
          <w:p w14:paraId="34E751E0" w14:textId="77777777" w:rsidR="00960BE3" w:rsidRPr="008114EC" w:rsidRDefault="00960BE3" w:rsidP="001C3249">
            <w:pPr>
              <w:ind w:firstLine="5"/>
              <w:jc w:val="both"/>
              <w:rPr>
                <w:rFonts w:asciiTheme="minorHAnsi" w:hAnsiTheme="minorHAnsi"/>
              </w:rPr>
            </w:pPr>
            <w:r w:rsidRPr="008114EC">
              <w:rPr>
                <w:rFonts w:asciiTheme="minorHAnsi" w:hAnsiTheme="minorHAnsi"/>
              </w:rPr>
              <w:t>All records</w:t>
            </w:r>
            <w:r w:rsidR="00296400">
              <w:rPr>
                <w:rFonts w:asciiTheme="minorHAnsi" w:hAnsiTheme="minorHAnsi"/>
              </w:rPr>
              <w:t xml:space="preserve"> of</w:t>
            </w:r>
            <w:r w:rsidRPr="008114EC">
              <w:rPr>
                <w:rFonts w:asciiTheme="minorHAnsi" w:hAnsiTheme="minorHAnsi"/>
              </w:rPr>
              <w:t xml:space="preserve"> interviews and applications are kept for a period of one year</w:t>
            </w:r>
            <w:r w:rsidR="00296400">
              <w:rPr>
                <w:rFonts w:asciiTheme="minorHAnsi" w:hAnsiTheme="minorHAnsi"/>
              </w:rPr>
              <w:t xml:space="preserve"> post the application period </w:t>
            </w:r>
            <w:proofErr w:type="gramStart"/>
            <w:r w:rsidR="00296400">
              <w:rPr>
                <w:rFonts w:asciiTheme="minorHAnsi" w:hAnsiTheme="minorHAnsi"/>
              </w:rPr>
              <w:t>in order to</w:t>
            </w:r>
            <w:proofErr w:type="gramEnd"/>
            <w:r w:rsidR="00296400">
              <w:rPr>
                <w:rFonts w:asciiTheme="minorHAnsi" w:hAnsiTheme="minorHAnsi"/>
              </w:rPr>
              <w:t xml:space="preserve"> exhaust the statute of limitations in relation to a potential claim</w:t>
            </w:r>
          </w:p>
        </w:tc>
      </w:tr>
      <w:tr w:rsidR="00960BE3" w:rsidRPr="008114EC" w14:paraId="21A8B7FA" w14:textId="77777777" w:rsidTr="008114EC">
        <w:tc>
          <w:tcPr>
            <w:tcW w:w="4531" w:type="dxa"/>
          </w:tcPr>
          <w:p w14:paraId="1C373F10" w14:textId="77777777" w:rsidR="00960BE3" w:rsidRPr="008114EC" w:rsidRDefault="00960BE3" w:rsidP="00EE24D7">
            <w:pPr>
              <w:ind w:firstLine="0"/>
              <w:jc w:val="both"/>
              <w:rPr>
                <w:rFonts w:asciiTheme="minorHAnsi" w:hAnsiTheme="minorHAnsi"/>
              </w:rPr>
            </w:pPr>
            <w:r w:rsidRPr="008114EC">
              <w:rPr>
                <w:rFonts w:asciiTheme="minorHAnsi" w:hAnsiTheme="minorHAnsi"/>
              </w:rPr>
              <w:t>Health and Safety Records</w:t>
            </w:r>
          </w:p>
        </w:tc>
        <w:tc>
          <w:tcPr>
            <w:tcW w:w="5529" w:type="dxa"/>
          </w:tcPr>
          <w:p w14:paraId="0E7B0CDA" w14:textId="77777777" w:rsidR="00960BE3" w:rsidRPr="008114EC" w:rsidRDefault="00960BE3" w:rsidP="001C3249">
            <w:pPr>
              <w:ind w:firstLine="5"/>
              <w:jc w:val="both"/>
              <w:rPr>
                <w:rFonts w:asciiTheme="minorHAnsi" w:hAnsiTheme="minorHAnsi"/>
              </w:rPr>
            </w:pPr>
            <w:r w:rsidRPr="008114EC">
              <w:rPr>
                <w:rFonts w:asciiTheme="minorHAnsi" w:hAnsiTheme="minorHAnsi"/>
              </w:rPr>
              <w:t xml:space="preserve">All records relating to health and safety will be kept for a period of 10 years </w:t>
            </w:r>
          </w:p>
        </w:tc>
      </w:tr>
      <w:tr w:rsidR="00D94B70" w:rsidRPr="008114EC" w14:paraId="4557F9A9" w14:textId="77777777" w:rsidTr="008114EC">
        <w:tc>
          <w:tcPr>
            <w:tcW w:w="4531" w:type="dxa"/>
          </w:tcPr>
          <w:p w14:paraId="60A6AECF" w14:textId="77777777" w:rsidR="00D94B70" w:rsidRPr="008114EC" w:rsidRDefault="00D94B70" w:rsidP="00EE24D7">
            <w:pPr>
              <w:ind w:firstLine="0"/>
              <w:jc w:val="both"/>
              <w:rPr>
                <w:rFonts w:asciiTheme="minorHAnsi" w:hAnsiTheme="minorHAnsi"/>
              </w:rPr>
            </w:pPr>
            <w:r w:rsidRPr="008114EC">
              <w:rPr>
                <w:rFonts w:asciiTheme="minorHAnsi" w:hAnsiTheme="minorHAnsi"/>
              </w:rPr>
              <w:t>Data Law Compliance</w:t>
            </w:r>
          </w:p>
        </w:tc>
        <w:tc>
          <w:tcPr>
            <w:tcW w:w="5529" w:type="dxa"/>
          </w:tcPr>
          <w:p w14:paraId="758D35DB" w14:textId="77777777" w:rsidR="00D94B70" w:rsidRPr="008114EC" w:rsidRDefault="00D94B70" w:rsidP="001C3249">
            <w:pPr>
              <w:ind w:firstLine="5"/>
              <w:jc w:val="both"/>
              <w:rPr>
                <w:rFonts w:asciiTheme="minorHAnsi" w:hAnsiTheme="minorHAnsi"/>
              </w:rPr>
            </w:pPr>
            <w:r w:rsidRPr="008114EC">
              <w:rPr>
                <w:rFonts w:asciiTheme="minorHAnsi" w:hAnsiTheme="minorHAnsi"/>
              </w:rPr>
              <w:t xml:space="preserve">Records in relation to our compliance with Data Law and GDPR will be kept for a </w:t>
            </w:r>
            <w:proofErr w:type="gramStart"/>
            <w:r w:rsidRPr="008114EC">
              <w:rPr>
                <w:rFonts w:asciiTheme="minorHAnsi" w:hAnsiTheme="minorHAnsi"/>
              </w:rPr>
              <w:t>five year</w:t>
            </w:r>
            <w:proofErr w:type="gramEnd"/>
            <w:r w:rsidRPr="008114EC">
              <w:rPr>
                <w:rFonts w:asciiTheme="minorHAnsi" w:hAnsiTheme="minorHAnsi"/>
              </w:rPr>
              <w:t xml:space="preserve"> period.</w:t>
            </w:r>
          </w:p>
        </w:tc>
      </w:tr>
    </w:tbl>
    <w:p w14:paraId="4E2DAD9B" w14:textId="77777777" w:rsidR="00296400" w:rsidRDefault="00296400" w:rsidP="00EE24D7">
      <w:pPr>
        <w:pStyle w:val="Heading2"/>
        <w:spacing w:before="0" w:after="0"/>
        <w:jc w:val="both"/>
      </w:pPr>
      <w:bookmarkStart w:id="5" w:name="_Toc507347052"/>
    </w:p>
    <w:p w14:paraId="022E404A" w14:textId="44DAE874" w:rsidR="00296400" w:rsidRDefault="001442DC" w:rsidP="00EE24D7">
      <w:pPr>
        <w:pStyle w:val="Heading2"/>
        <w:spacing w:before="0" w:after="0"/>
        <w:jc w:val="both"/>
      </w:pPr>
      <w:r>
        <w:t>Retention of encrypted data</w:t>
      </w:r>
      <w:bookmarkEnd w:id="5"/>
    </w:p>
    <w:p w14:paraId="4364F9E0" w14:textId="00000C8D" w:rsidR="00CE2D0B" w:rsidRDefault="00296400" w:rsidP="00EE24D7">
      <w:pPr>
        <w:ind w:firstLine="0"/>
        <w:jc w:val="both"/>
      </w:pPr>
      <w:r>
        <w:t>A</w:t>
      </w:r>
      <w:r w:rsidR="001442DC" w:rsidRPr="006A794F">
        <w:t>ny information retained under this policy is stored in an encrypted format</w:t>
      </w:r>
      <w:r>
        <w:t>.</w:t>
      </w:r>
      <w:r w:rsidR="001442DC" w:rsidRPr="006A794F">
        <w:t xml:space="preserve"> Encryption keys </w:t>
      </w:r>
      <w:r>
        <w:t>are</w:t>
      </w:r>
      <w:r w:rsidR="001442DC" w:rsidRPr="006A794F">
        <w:t xml:space="preserve"> retained </w:t>
      </w:r>
      <w:proofErr w:type="gramStart"/>
      <w:r w:rsidR="001442DC" w:rsidRPr="006A794F">
        <w:t>as long as</w:t>
      </w:r>
      <w:proofErr w:type="gramEnd"/>
      <w:r w:rsidR="001442DC" w:rsidRPr="006A794F">
        <w:t xml:space="preserve"> the data that the keys decrypt is retained</w:t>
      </w:r>
      <w:r w:rsidR="006A794F" w:rsidRPr="006A794F">
        <w:t>.</w:t>
      </w:r>
    </w:p>
    <w:p w14:paraId="1CEE3605" w14:textId="77777777" w:rsidR="00514A3C" w:rsidRDefault="00514A3C" w:rsidP="00EE24D7">
      <w:pPr>
        <w:jc w:val="both"/>
      </w:pPr>
    </w:p>
    <w:p w14:paraId="3F3343DA" w14:textId="77777777" w:rsidR="003B5892" w:rsidRDefault="003B5892" w:rsidP="00EE24D7">
      <w:pPr>
        <w:jc w:val="both"/>
      </w:pPr>
    </w:p>
    <w:p w14:paraId="1EEFDB16" w14:textId="72E78B38" w:rsidR="00296400" w:rsidRDefault="00C61FE6" w:rsidP="00EE24D7">
      <w:pPr>
        <w:pStyle w:val="Heading2"/>
        <w:keepNext/>
        <w:spacing w:before="0" w:after="0"/>
        <w:jc w:val="both"/>
      </w:pPr>
      <w:bookmarkStart w:id="6" w:name="_Toc507347053"/>
      <w:r>
        <w:t>Data duplication</w:t>
      </w:r>
      <w:bookmarkEnd w:id="6"/>
    </w:p>
    <w:p w14:paraId="72B4AF0F" w14:textId="7D8E16D1" w:rsidR="00C61FE6" w:rsidRDefault="005E0C12" w:rsidP="00EE24D7">
      <w:pPr>
        <w:keepNext/>
        <w:ind w:firstLine="0"/>
        <w:jc w:val="both"/>
      </w:pPr>
      <w:r>
        <w:t xml:space="preserve">We will endeavour to ensure that there is no duplication of data.  In this regard, once </w:t>
      </w:r>
      <w:r w:rsidR="006C61B8">
        <w:t>data subject</w:t>
      </w:r>
      <w:r>
        <w:t xml:space="preserve"> information is received by email, that information will be uploaded onto our Administration Management System</w:t>
      </w:r>
      <w:r w:rsidR="006C61B8">
        <w:t>/Membership Database</w:t>
      </w:r>
      <w:r w:rsidR="00296400">
        <w:t xml:space="preserve"> and the originating email is </w:t>
      </w:r>
      <w:r>
        <w:t>deleted</w:t>
      </w:r>
      <w:r w:rsidR="00296400">
        <w:t xml:space="preserve">, this is supported in </w:t>
      </w:r>
      <w:r w:rsidR="006C61B8">
        <w:t>relevant</w:t>
      </w:r>
      <w:r w:rsidR="00296400">
        <w:t xml:space="preserve"> Standard Operating Procedures</w:t>
      </w:r>
      <w:r>
        <w:t xml:space="preserve">.  </w:t>
      </w:r>
    </w:p>
    <w:p w14:paraId="18ACCB03" w14:textId="77777777" w:rsidR="00296400" w:rsidRDefault="00296400" w:rsidP="00EE24D7">
      <w:pPr>
        <w:pStyle w:val="Heading2"/>
        <w:spacing w:before="0" w:after="0"/>
        <w:jc w:val="both"/>
      </w:pPr>
      <w:bookmarkStart w:id="7" w:name="_Toc507347054"/>
    </w:p>
    <w:p w14:paraId="4A98EC05" w14:textId="59F04DDA" w:rsidR="00296400" w:rsidRDefault="00296400" w:rsidP="00EE24D7">
      <w:pPr>
        <w:pStyle w:val="Heading2"/>
        <w:spacing w:before="0" w:after="0"/>
        <w:jc w:val="both"/>
      </w:pPr>
      <w:r>
        <w:t>Data D</w:t>
      </w:r>
      <w:r w:rsidR="005E4264">
        <w:t>estruction</w:t>
      </w:r>
      <w:bookmarkEnd w:id="7"/>
    </w:p>
    <w:p w14:paraId="67A34611" w14:textId="77777777" w:rsidR="00CE2D0B" w:rsidRPr="00CE2D0B" w:rsidRDefault="005E4264" w:rsidP="00EE24D7">
      <w:pPr>
        <w:ind w:firstLine="0"/>
        <w:jc w:val="both"/>
      </w:pPr>
      <w:r>
        <w:t>When the retention timeframe expires,</w:t>
      </w:r>
      <w:r w:rsidR="00D94B70">
        <w:t xml:space="preserve"> </w:t>
      </w:r>
      <w:r w:rsidR="005E0C12">
        <w:t>we</w:t>
      </w:r>
      <w:r>
        <w:t xml:space="preserve"> will actively destroy the data covered by this policy. </w:t>
      </w:r>
      <w:r w:rsidR="00D94B70">
        <w:t>Exceptions will only be made where there is a written application which has been given consideration by the company Data Protection Officer.  Destruction will be verified by our IT contractors where it is soft copy information and certified</w:t>
      </w:r>
      <w:r w:rsidR="00D94B70" w:rsidRPr="00CE2D0B">
        <w:t xml:space="preserve"> </w:t>
      </w:r>
      <w:r w:rsidR="00D94B70">
        <w:t>by our shredding company where it is hard copy information.</w:t>
      </w:r>
      <w:r w:rsidR="00296400">
        <w:t xml:space="preserve">  A database of deleted data subjects is kept which will contain only the bare minimum of data in order to verify the identification of that individual and that date of destruction will be kept </w:t>
      </w:r>
      <w:proofErr w:type="gramStart"/>
      <w:r w:rsidR="00296400">
        <w:t>to enable</w:t>
      </w:r>
      <w:proofErr w:type="gramEnd"/>
      <w:r w:rsidR="00296400">
        <w:t xml:space="preserve"> confirmation in the event of a Data Subject Access Request. </w:t>
      </w:r>
    </w:p>
    <w:p w14:paraId="50E15C71" w14:textId="77777777" w:rsidR="00514A3C" w:rsidRDefault="00514A3C" w:rsidP="00EE24D7">
      <w:pPr>
        <w:pStyle w:val="Heading1"/>
        <w:spacing w:before="0" w:after="0"/>
        <w:jc w:val="both"/>
      </w:pPr>
      <w:bookmarkStart w:id="8" w:name="_Toc507347055"/>
    </w:p>
    <w:p w14:paraId="7DC3FA99" w14:textId="799B2B84" w:rsidR="00CE2D0B" w:rsidRPr="00D94B70" w:rsidRDefault="00D94B70" w:rsidP="00EE24D7">
      <w:pPr>
        <w:pStyle w:val="Heading1"/>
        <w:spacing w:before="0" w:after="0"/>
        <w:jc w:val="both"/>
      </w:pPr>
      <w:r w:rsidRPr="00D94B70">
        <w:t>Responsibilities</w:t>
      </w:r>
      <w:bookmarkEnd w:id="8"/>
    </w:p>
    <w:p w14:paraId="6579ECEA" w14:textId="77777777" w:rsidR="00514A3C" w:rsidRDefault="00514A3C" w:rsidP="00EE24D7">
      <w:pPr>
        <w:pStyle w:val="Heading2"/>
        <w:spacing w:before="0" w:after="0"/>
        <w:jc w:val="both"/>
      </w:pPr>
      <w:bookmarkStart w:id="9" w:name="_Toc507347056"/>
    </w:p>
    <w:p w14:paraId="5A77B7F9" w14:textId="1182B28A" w:rsidR="00296400" w:rsidRPr="00514A3C" w:rsidRDefault="00CE2D0B" w:rsidP="00EE24D7">
      <w:pPr>
        <w:pStyle w:val="Heading2"/>
        <w:spacing w:before="0" w:after="0"/>
        <w:jc w:val="both"/>
      </w:pPr>
      <w:r w:rsidRPr="00D94B70">
        <w:t xml:space="preserve">Compliance, </w:t>
      </w:r>
      <w:r w:rsidR="001748E1" w:rsidRPr="00D94B70">
        <w:t>m</w:t>
      </w:r>
      <w:r w:rsidRPr="00D94B70">
        <w:t xml:space="preserve">onitoring and </w:t>
      </w:r>
      <w:r w:rsidR="001748E1" w:rsidRPr="00D94B70">
        <w:t>r</w:t>
      </w:r>
      <w:r w:rsidRPr="00D94B70">
        <w:t>eview</w:t>
      </w:r>
      <w:bookmarkEnd w:id="9"/>
    </w:p>
    <w:p w14:paraId="631715BA" w14:textId="26C3126C" w:rsidR="00296400" w:rsidRDefault="00D94B70" w:rsidP="00EE24D7">
      <w:pPr>
        <w:ind w:firstLine="0"/>
        <w:jc w:val="both"/>
        <w:rPr>
          <w:color w:val="000000" w:themeColor="text1"/>
        </w:rPr>
      </w:pPr>
      <w:r>
        <w:rPr>
          <w:color w:val="000000" w:themeColor="text1"/>
        </w:rPr>
        <w:t>The Data Protection Office has the overall r</w:t>
      </w:r>
      <w:r w:rsidR="003723BB" w:rsidRPr="00D94B70">
        <w:rPr>
          <w:color w:val="000000" w:themeColor="text1"/>
        </w:rPr>
        <w:t>esponsibility for ensuring compliance with the requirements of the related legislation.</w:t>
      </w:r>
      <w:r>
        <w:rPr>
          <w:color w:val="000000" w:themeColor="text1"/>
        </w:rPr>
        <w:t xml:space="preserve">  </w:t>
      </w:r>
      <w:r w:rsidR="00763516" w:rsidRPr="00D94B70">
        <w:rPr>
          <w:color w:val="000000" w:themeColor="text1"/>
        </w:rPr>
        <w:t xml:space="preserve">All staff that deal with personal data are responsible for processing this data in full compliance with </w:t>
      </w:r>
      <w:r>
        <w:rPr>
          <w:color w:val="000000" w:themeColor="text1"/>
        </w:rPr>
        <w:t>our</w:t>
      </w:r>
      <w:r w:rsidR="00763516" w:rsidRPr="00D94B70">
        <w:rPr>
          <w:color w:val="000000" w:themeColor="text1"/>
        </w:rPr>
        <w:t xml:space="preserve"> relevant</w:t>
      </w:r>
      <w:r>
        <w:rPr>
          <w:color w:val="000000" w:themeColor="text1"/>
        </w:rPr>
        <w:t xml:space="preserve"> </w:t>
      </w:r>
      <w:r w:rsidR="00763516" w:rsidRPr="00D94B70">
        <w:rPr>
          <w:color w:val="000000" w:themeColor="text1"/>
        </w:rPr>
        <w:t>policies and procedures.</w:t>
      </w:r>
      <w:bookmarkStart w:id="10" w:name="_Toc507347057"/>
    </w:p>
    <w:p w14:paraId="24A68D61" w14:textId="77777777" w:rsidR="00514A3C" w:rsidRDefault="00514A3C" w:rsidP="00EE24D7">
      <w:pPr>
        <w:jc w:val="both"/>
      </w:pPr>
    </w:p>
    <w:p w14:paraId="59375075" w14:textId="77777777" w:rsidR="00514A3C" w:rsidRDefault="00514A3C" w:rsidP="00EE24D7">
      <w:pPr>
        <w:pStyle w:val="Heading2"/>
        <w:spacing w:before="0" w:after="0"/>
        <w:jc w:val="both"/>
      </w:pPr>
    </w:p>
    <w:p w14:paraId="085CF00B" w14:textId="22FCD9AC" w:rsidR="00296400" w:rsidRDefault="00CE2D0B" w:rsidP="00EE24D7">
      <w:pPr>
        <w:pStyle w:val="Heading2"/>
        <w:spacing w:before="0" w:after="0"/>
        <w:jc w:val="both"/>
      </w:pPr>
      <w:r w:rsidRPr="00D94B70">
        <w:t>Reporting</w:t>
      </w:r>
      <w:r w:rsidR="00020AFA" w:rsidRPr="00D94B70">
        <w:t xml:space="preserve"> in case of a data breach</w:t>
      </w:r>
      <w:bookmarkEnd w:id="10"/>
    </w:p>
    <w:p w14:paraId="707184F9" w14:textId="44B44E42" w:rsidR="001C769A" w:rsidRDefault="00E860EC" w:rsidP="00EE24D7">
      <w:pPr>
        <w:ind w:firstLine="0"/>
        <w:jc w:val="both"/>
      </w:pPr>
      <w:r>
        <w:t xml:space="preserve">Data will only be accessed in our company by a relevant individual.  A person becomes a relevant individual by virtue of employment or their volunteer role.  </w:t>
      </w:r>
      <w:r w:rsidR="001C769A">
        <w:t>In the case of possible data breach, the</w:t>
      </w:r>
      <w:r>
        <w:t xml:space="preserve"> relevant</w:t>
      </w:r>
      <w:r w:rsidR="001C769A">
        <w:t xml:space="preserve"> </w:t>
      </w:r>
      <w:r w:rsidR="006C61B8">
        <w:t>individual</w:t>
      </w:r>
      <w:r w:rsidR="001C769A">
        <w:t xml:space="preserve"> who first identifies the breach or incident, must immediately report all details of the incident to the Data Protection Officer.</w:t>
      </w:r>
    </w:p>
    <w:p w14:paraId="4E074063" w14:textId="77777777" w:rsidR="00296400" w:rsidRDefault="00296400" w:rsidP="00EE24D7">
      <w:pPr>
        <w:jc w:val="both"/>
      </w:pPr>
    </w:p>
    <w:p w14:paraId="073E0097" w14:textId="5F7DF0B6" w:rsidR="00CE2D0B" w:rsidRDefault="000E7E94" w:rsidP="00EE24D7">
      <w:pPr>
        <w:ind w:firstLine="0"/>
        <w:jc w:val="both"/>
      </w:pPr>
      <w:r>
        <w:t>The Data Protection Officer</w:t>
      </w:r>
      <w:r w:rsidRPr="000E7E94">
        <w:t xml:space="preserve"> </w:t>
      </w:r>
      <w:r>
        <w:t>is</w:t>
      </w:r>
      <w:r w:rsidRPr="000E7E94">
        <w:t xml:space="preserve"> required to report a personal data breach to the competent </w:t>
      </w:r>
      <w:r>
        <w:t>Data Protection Authority</w:t>
      </w:r>
      <w:r w:rsidR="00E860EC">
        <w:t>, the Irish Data Protection Commissioner,</w:t>
      </w:r>
      <w:r w:rsidRPr="000E7E94">
        <w:t xml:space="preserve"> not later than 72 hours after becoming aware of it. The notification </w:t>
      </w:r>
      <w:r w:rsidR="00E860EC">
        <w:t>must be made in accordance with the online questioning by the DPC that provides for details including</w:t>
      </w:r>
      <w:r w:rsidRPr="000E7E94">
        <w:t>:</w:t>
      </w:r>
    </w:p>
    <w:p w14:paraId="2DCF9320" w14:textId="77777777" w:rsidR="000E7E94" w:rsidRDefault="000E7E94" w:rsidP="00EE24D7">
      <w:pPr>
        <w:pStyle w:val="ListParagraph"/>
        <w:numPr>
          <w:ilvl w:val="0"/>
          <w:numId w:val="13"/>
        </w:numPr>
        <w:jc w:val="both"/>
      </w:pPr>
      <w:r>
        <w:t xml:space="preserve">a description of the nature of the breach, including, where possible, the categories and approximate number of data subjects and personal data records </w:t>
      </w:r>
      <w:proofErr w:type="gramStart"/>
      <w:r>
        <w:t>concerned;</w:t>
      </w:r>
      <w:proofErr w:type="gramEnd"/>
    </w:p>
    <w:p w14:paraId="0F4C081F" w14:textId="31E085B2" w:rsidR="000E7E94" w:rsidRDefault="000E7E94" w:rsidP="00EE24D7">
      <w:pPr>
        <w:pStyle w:val="ListParagraph"/>
        <w:numPr>
          <w:ilvl w:val="0"/>
          <w:numId w:val="13"/>
        </w:numPr>
        <w:jc w:val="both"/>
      </w:pPr>
      <w:r>
        <w:t xml:space="preserve">the name and contact details of the relevant Data Protection Officer or </w:t>
      </w:r>
      <w:r w:rsidR="00E860EC">
        <w:t xml:space="preserve">in the alternative a </w:t>
      </w:r>
      <w:r>
        <w:t xml:space="preserve">contact </w:t>
      </w:r>
      <w:proofErr w:type="gramStart"/>
      <w:r>
        <w:t>point;</w:t>
      </w:r>
      <w:proofErr w:type="gramEnd"/>
    </w:p>
    <w:p w14:paraId="72E04A67" w14:textId="77777777" w:rsidR="000E7E94" w:rsidRDefault="000E7E94" w:rsidP="00EE24D7">
      <w:pPr>
        <w:pStyle w:val="ListParagraph"/>
        <w:numPr>
          <w:ilvl w:val="0"/>
          <w:numId w:val="13"/>
        </w:numPr>
        <w:jc w:val="both"/>
      </w:pPr>
      <w:r>
        <w:t>the likely consequences of the data breach; and</w:t>
      </w:r>
    </w:p>
    <w:p w14:paraId="219333A7" w14:textId="2675B837" w:rsidR="00CE2D0B" w:rsidRDefault="000E7E94" w:rsidP="00EE24D7">
      <w:pPr>
        <w:pStyle w:val="ListParagraph"/>
        <w:numPr>
          <w:ilvl w:val="0"/>
          <w:numId w:val="13"/>
        </w:numPr>
        <w:jc w:val="both"/>
      </w:pPr>
      <w:r>
        <w:t>measures taken or proposed to address the breach and/or mitigate its effects.</w:t>
      </w:r>
    </w:p>
    <w:p w14:paraId="2731463E" w14:textId="77777777" w:rsidR="00296400" w:rsidRDefault="00296400" w:rsidP="00EE24D7">
      <w:pPr>
        <w:jc w:val="both"/>
        <w:rPr>
          <w:color w:val="000000" w:themeColor="text1"/>
        </w:rPr>
      </w:pPr>
    </w:p>
    <w:p w14:paraId="28607152" w14:textId="56157130" w:rsidR="00CE2D0B" w:rsidRPr="00D94B70" w:rsidRDefault="00020AFA" w:rsidP="00EE24D7">
      <w:pPr>
        <w:ind w:firstLine="0"/>
        <w:jc w:val="both"/>
        <w:rPr>
          <w:color w:val="000000" w:themeColor="text1"/>
        </w:rPr>
      </w:pPr>
      <w:r w:rsidRPr="00D94B70">
        <w:rPr>
          <w:color w:val="000000" w:themeColor="text1"/>
        </w:rPr>
        <w:t>Where a personal data breach is likely to result in a high risk to the rights and freedoms of a data subject, the Data Protection Officer</w:t>
      </w:r>
      <w:r w:rsidR="00E860EC">
        <w:rPr>
          <w:color w:val="000000" w:themeColor="text1"/>
        </w:rPr>
        <w:t xml:space="preserve"> (DPO)</w:t>
      </w:r>
      <w:r w:rsidRPr="00D94B70">
        <w:rPr>
          <w:color w:val="000000" w:themeColor="text1"/>
        </w:rPr>
        <w:t xml:space="preserve"> must communicate the breach to the data subject(s) without undue delay.</w:t>
      </w:r>
      <w:r w:rsidR="00E860EC">
        <w:rPr>
          <w:color w:val="000000" w:themeColor="text1"/>
        </w:rPr>
        <w:t xml:space="preserve">  Such risk will be determined by the DPO.  </w:t>
      </w:r>
      <w:r w:rsidRPr="00D94B70">
        <w:rPr>
          <w:color w:val="000000" w:themeColor="text1"/>
        </w:rPr>
        <w:t xml:space="preserve"> The communication must describe in clear and plain language, the nature of the breach and at least:</w:t>
      </w:r>
    </w:p>
    <w:p w14:paraId="16E8247E" w14:textId="0EE0ADD6" w:rsidR="00020AFA" w:rsidRDefault="00020AFA" w:rsidP="00EE24D7">
      <w:pPr>
        <w:pStyle w:val="ListParagraph"/>
        <w:numPr>
          <w:ilvl w:val="0"/>
          <w:numId w:val="15"/>
        </w:numPr>
        <w:jc w:val="both"/>
      </w:pPr>
      <w:r>
        <w:t xml:space="preserve">the name and contact details of the relevant Data Protection Officer or </w:t>
      </w:r>
      <w:r w:rsidR="00E860EC">
        <w:t xml:space="preserve">in the alternative a </w:t>
      </w:r>
      <w:r>
        <w:t xml:space="preserve">contact </w:t>
      </w:r>
      <w:proofErr w:type="gramStart"/>
      <w:r>
        <w:t>point;</w:t>
      </w:r>
      <w:proofErr w:type="gramEnd"/>
    </w:p>
    <w:p w14:paraId="62CCB71C" w14:textId="77777777" w:rsidR="00020AFA" w:rsidRDefault="00020AFA" w:rsidP="00EE24D7">
      <w:pPr>
        <w:pStyle w:val="ListParagraph"/>
        <w:numPr>
          <w:ilvl w:val="0"/>
          <w:numId w:val="15"/>
        </w:numPr>
        <w:jc w:val="both"/>
      </w:pPr>
      <w:r>
        <w:t>the likely consequences of the data breach; and</w:t>
      </w:r>
    </w:p>
    <w:p w14:paraId="629995FF" w14:textId="77777777" w:rsidR="00020AFA" w:rsidRDefault="00020AFA" w:rsidP="00EE24D7">
      <w:pPr>
        <w:pStyle w:val="ListParagraph"/>
        <w:numPr>
          <w:ilvl w:val="0"/>
          <w:numId w:val="15"/>
        </w:numPr>
        <w:jc w:val="both"/>
      </w:pPr>
      <w:r>
        <w:t>measures taken or proposed by the controller to address the breach and/or mitigate its effects.</w:t>
      </w:r>
    </w:p>
    <w:p w14:paraId="391C35E6" w14:textId="77777777" w:rsidR="00296400" w:rsidRDefault="00296400" w:rsidP="00EE24D7">
      <w:pPr>
        <w:pStyle w:val="Heading2"/>
        <w:spacing w:before="0" w:after="0"/>
        <w:jc w:val="both"/>
      </w:pPr>
      <w:bookmarkStart w:id="11" w:name="_Toc507347058"/>
    </w:p>
    <w:p w14:paraId="0A4C7F5E" w14:textId="77777777" w:rsidR="00CE2D0B" w:rsidRPr="00D94B70" w:rsidRDefault="00CE2D0B" w:rsidP="00EE24D7">
      <w:pPr>
        <w:pStyle w:val="Heading2"/>
        <w:spacing w:before="0" w:after="0"/>
        <w:jc w:val="both"/>
      </w:pPr>
      <w:r w:rsidRPr="00D94B70">
        <w:t xml:space="preserve">Records </w:t>
      </w:r>
      <w:r w:rsidR="001748E1" w:rsidRPr="00D94B70">
        <w:t>m</w:t>
      </w:r>
      <w:r w:rsidRPr="00D94B70">
        <w:t>anagement</w:t>
      </w:r>
      <w:bookmarkEnd w:id="11"/>
    </w:p>
    <w:p w14:paraId="3C85FEF2" w14:textId="6A660D9F" w:rsidR="00CE2D0B" w:rsidRDefault="00514A3C" w:rsidP="00EE24D7">
      <w:pPr>
        <w:ind w:firstLine="0"/>
        <w:jc w:val="both"/>
      </w:pPr>
      <w:r>
        <w:t>S</w:t>
      </w:r>
      <w:r w:rsidR="00CE2D0B" w:rsidRPr="00A52D3A">
        <w:t xml:space="preserve">taff must maintain all records relevant to administering this policy </w:t>
      </w:r>
      <w:r w:rsidR="00CE2D0B">
        <w:t xml:space="preserve">and procedure </w:t>
      </w:r>
      <w:r w:rsidR="00CE2D0B" w:rsidRPr="00A52D3A">
        <w:t xml:space="preserve">in </w:t>
      </w:r>
      <w:r w:rsidR="00BA05AA">
        <w:t xml:space="preserve">electronic form in </w:t>
      </w:r>
      <w:r w:rsidR="00D94B70">
        <w:t>the company Administration Management System.</w:t>
      </w:r>
    </w:p>
    <w:p w14:paraId="7B926C11" w14:textId="77777777" w:rsidR="00296400" w:rsidRPr="00CE2D0B" w:rsidRDefault="00296400" w:rsidP="00EE24D7">
      <w:pPr>
        <w:jc w:val="both"/>
      </w:pPr>
    </w:p>
    <w:p w14:paraId="3B48C66E" w14:textId="77777777" w:rsidR="003C62A2" w:rsidRPr="00D94B70" w:rsidRDefault="008A27CE" w:rsidP="00EE24D7">
      <w:pPr>
        <w:jc w:val="both"/>
        <w:rPr>
          <w:color w:val="000000" w:themeColor="text1"/>
        </w:rPr>
      </w:pPr>
      <w:r w:rsidRPr="00D94B70">
        <w:rPr>
          <w:color w:val="000000" w:themeColor="text1"/>
        </w:rPr>
        <w:t>All records relevant to administering this policy and procedure will be maintained for a period of 5 years.</w:t>
      </w:r>
    </w:p>
    <w:p w14:paraId="4D9F162A" w14:textId="77777777" w:rsidR="00514A3C" w:rsidRDefault="00514A3C" w:rsidP="00EE24D7">
      <w:pPr>
        <w:pStyle w:val="Heading1"/>
        <w:spacing w:before="0" w:after="0"/>
        <w:jc w:val="both"/>
      </w:pPr>
      <w:bookmarkStart w:id="12" w:name="_Toc507347059"/>
    </w:p>
    <w:p w14:paraId="71F14658" w14:textId="5256238F" w:rsidR="00CE2D0B" w:rsidRPr="00D94B70" w:rsidRDefault="00D94B70" w:rsidP="00EE24D7">
      <w:pPr>
        <w:pStyle w:val="Heading1"/>
        <w:spacing w:before="0" w:after="0"/>
        <w:jc w:val="both"/>
      </w:pPr>
      <w:r w:rsidRPr="00D94B70">
        <w:t>Terms And Definitions</w:t>
      </w:r>
      <w:bookmarkEnd w:id="12"/>
      <w:r>
        <w:t xml:space="preserve"> Relevant to this Policy:</w:t>
      </w:r>
    </w:p>
    <w:p w14:paraId="279E321D" w14:textId="77777777" w:rsidR="00940E6F" w:rsidRPr="00C42D44" w:rsidRDefault="004D119A" w:rsidP="00EE24D7">
      <w:pPr>
        <w:keepNext/>
        <w:ind w:left="284" w:firstLine="0"/>
        <w:jc w:val="both"/>
        <w:rPr>
          <w:color w:val="2E74B5" w:themeColor="accent5" w:themeShade="BF"/>
        </w:rPr>
      </w:pPr>
      <w:r w:rsidRPr="007D0FDA">
        <w:rPr>
          <w:b/>
          <w:u w:val="single"/>
        </w:rPr>
        <w:t>General Data Protection Regulation (GDPR)</w:t>
      </w:r>
      <w:r>
        <w:rPr>
          <w:b/>
        </w:rPr>
        <w:t xml:space="preserve">: </w:t>
      </w:r>
      <w:r>
        <w:t>t</w:t>
      </w:r>
      <w:r w:rsidRPr="004D119A">
        <w:t>he General Data Protection Regulation (GDPR) (Regulation (EU) 2016/679) is a regulation by which the European Parliament, the Council of the European Union and the European Commission intend to strengthen and unify data protection for all individuals within the European Union (EU). It also addresses the export o</w:t>
      </w:r>
      <w:r>
        <w:t>f personal data outside the EU.</w:t>
      </w:r>
    </w:p>
    <w:p w14:paraId="1A4CC95D" w14:textId="77777777" w:rsidR="00514A3C" w:rsidRDefault="00514A3C" w:rsidP="00EE24D7">
      <w:pPr>
        <w:ind w:left="284"/>
        <w:jc w:val="both"/>
        <w:rPr>
          <w:b/>
          <w:u w:val="single"/>
        </w:rPr>
      </w:pPr>
    </w:p>
    <w:p w14:paraId="7AF55D7F" w14:textId="20DD1D2A" w:rsidR="004D119A" w:rsidRDefault="004D119A" w:rsidP="00EE24D7">
      <w:pPr>
        <w:ind w:left="284" w:firstLine="0"/>
        <w:jc w:val="both"/>
      </w:pPr>
      <w:r w:rsidRPr="007D0FDA">
        <w:rPr>
          <w:b/>
          <w:u w:val="single"/>
        </w:rPr>
        <w:t>Data Controller:</w:t>
      </w:r>
      <w:r>
        <w:rPr>
          <w:b/>
        </w:rPr>
        <w:t xml:space="preserve"> </w:t>
      </w:r>
      <w:r w:rsidRPr="004D119A">
        <w:t xml:space="preserve">the entity that determines the purposes, </w:t>
      </w:r>
      <w:proofErr w:type="gramStart"/>
      <w:r w:rsidRPr="004D119A">
        <w:t>conditions</w:t>
      </w:r>
      <w:proofErr w:type="gramEnd"/>
      <w:r w:rsidRPr="004D119A">
        <w:t xml:space="preserve"> and means of the processing of personal</w:t>
      </w:r>
      <w:r w:rsidR="00514A3C">
        <w:t xml:space="preserve"> </w:t>
      </w:r>
      <w:r w:rsidRPr="004D119A">
        <w:t>data</w:t>
      </w:r>
    </w:p>
    <w:p w14:paraId="5DB4AB19" w14:textId="77777777" w:rsidR="00514A3C" w:rsidRDefault="00514A3C" w:rsidP="00EE24D7">
      <w:pPr>
        <w:ind w:left="284" w:firstLine="0"/>
        <w:jc w:val="both"/>
      </w:pPr>
    </w:p>
    <w:p w14:paraId="3210BE9C" w14:textId="77777777" w:rsidR="004D119A" w:rsidRDefault="00E01E6D" w:rsidP="00EE24D7">
      <w:pPr>
        <w:ind w:left="284" w:firstLine="0"/>
        <w:jc w:val="both"/>
        <w:rPr>
          <w:color w:val="2E74B5" w:themeColor="accent5" w:themeShade="BF"/>
        </w:rPr>
      </w:pPr>
      <w:r w:rsidRPr="007D0FDA">
        <w:rPr>
          <w:b/>
          <w:u w:val="single"/>
        </w:rPr>
        <w:t>Data Protection Officer (DPO):</w:t>
      </w:r>
      <w:r>
        <w:rPr>
          <w:b/>
        </w:rPr>
        <w:t xml:space="preserve"> </w:t>
      </w:r>
      <w:r w:rsidRPr="00E01E6D">
        <w:t>an expert on data privacy who works independently to ensure that an entity is adhering to the policies and procedures set forth in the GDPR</w:t>
      </w:r>
    </w:p>
    <w:p w14:paraId="73E027E0" w14:textId="77777777" w:rsidR="00514A3C" w:rsidRDefault="00514A3C" w:rsidP="00EE24D7">
      <w:pPr>
        <w:ind w:left="284" w:firstLine="0"/>
        <w:jc w:val="both"/>
        <w:rPr>
          <w:b/>
          <w:u w:val="single"/>
        </w:rPr>
      </w:pPr>
    </w:p>
    <w:p w14:paraId="476D28AF" w14:textId="7714CBED" w:rsidR="004D119A" w:rsidRDefault="00D7386A" w:rsidP="00EE24D7">
      <w:pPr>
        <w:ind w:left="284" w:firstLine="0"/>
        <w:jc w:val="both"/>
        <w:rPr>
          <w:color w:val="2E74B5" w:themeColor="accent5" w:themeShade="BF"/>
        </w:rPr>
      </w:pPr>
      <w:r w:rsidRPr="007D0FDA">
        <w:rPr>
          <w:b/>
          <w:u w:val="single"/>
        </w:rPr>
        <w:t>Data Subject:</w:t>
      </w:r>
      <w:r>
        <w:rPr>
          <w:b/>
        </w:rPr>
        <w:t xml:space="preserve"> </w:t>
      </w:r>
      <w:r w:rsidRPr="00D7386A">
        <w:t>a natural person whose personal data is processed by a controller or processor</w:t>
      </w:r>
    </w:p>
    <w:p w14:paraId="7163B94B" w14:textId="77777777" w:rsidR="00514A3C" w:rsidRDefault="00514A3C" w:rsidP="00EE24D7">
      <w:pPr>
        <w:ind w:left="284" w:firstLine="0"/>
        <w:jc w:val="both"/>
        <w:rPr>
          <w:b/>
          <w:u w:val="single"/>
        </w:rPr>
      </w:pPr>
    </w:p>
    <w:p w14:paraId="41BE9C63" w14:textId="7966A20D" w:rsidR="004D119A" w:rsidRDefault="00D7386A" w:rsidP="00EE24D7">
      <w:pPr>
        <w:ind w:left="284" w:firstLine="0"/>
        <w:jc w:val="both"/>
        <w:rPr>
          <w:color w:val="2E74B5" w:themeColor="accent5" w:themeShade="BF"/>
        </w:rPr>
      </w:pPr>
      <w:r w:rsidRPr="007D0FDA">
        <w:rPr>
          <w:b/>
          <w:u w:val="single"/>
        </w:rPr>
        <w:t>Personal Data:</w:t>
      </w:r>
      <w:r>
        <w:rPr>
          <w:b/>
        </w:rPr>
        <w:t xml:space="preserve"> </w:t>
      </w:r>
      <w:r w:rsidRPr="00D7386A">
        <w:t xml:space="preserve">any information related to a natural person or ‘Data Subject’, that can be used to </w:t>
      </w:r>
      <w:proofErr w:type="gramStart"/>
      <w:r w:rsidRPr="00D7386A">
        <w:t>directly or indirectly identify the person</w:t>
      </w:r>
      <w:proofErr w:type="gramEnd"/>
    </w:p>
    <w:p w14:paraId="3540EC8C" w14:textId="77777777" w:rsidR="00514A3C" w:rsidRDefault="00514A3C" w:rsidP="00EE24D7">
      <w:pPr>
        <w:ind w:left="284" w:firstLine="0"/>
        <w:jc w:val="both"/>
        <w:rPr>
          <w:b/>
          <w:u w:val="single"/>
        </w:rPr>
      </w:pPr>
    </w:p>
    <w:p w14:paraId="48826180" w14:textId="19C853BB" w:rsidR="00535EFD" w:rsidRPr="00C42D44" w:rsidRDefault="0020412B" w:rsidP="00EE24D7">
      <w:pPr>
        <w:ind w:left="284" w:firstLine="0"/>
        <w:jc w:val="both"/>
        <w:rPr>
          <w:color w:val="2E74B5" w:themeColor="accent5" w:themeShade="BF"/>
        </w:rPr>
      </w:pPr>
      <w:r w:rsidRPr="007D0FDA">
        <w:rPr>
          <w:b/>
          <w:u w:val="single"/>
        </w:rPr>
        <w:t>Processing:</w:t>
      </w:r>
      <w:r>
        <w:rPr>
          <w:b/>
        </w:rPr>
        <w:t xml:space="preserve"> </w:t>
      </w:r>
      <w:r w:rsidRPr="0020412B">
        <w:t xml:space="preserve">any operation performed on personal data, </w:t>
      </w:r>
      <w:proofErr w:type="gramStart"/>
      <w:r w:rsidRPr="0020412B">
        <w:t>whether or not</w:t>
      </w:r>
      <w:proofErr w:type="gramEnd"/>
      <w:r w:rsidRPr="0020412B">
        <w:t xml:space="preserve"> by automated means, including collection, use, recording, etc.</w:t>
      </w:r>
    </w:p>
    <w:p w14:paraId="4F58469A" w14:textId="77777777" w:rsidR="00514A3C" w:rsidRDefault="00514A3C" w:rsidP="00EE24D7">
      <w:pPr>
        <w:ind w:left="284" w:firstLine="0"/>
        <w:jc w:val="both"/>
        <w:rPr>
          <w:b/>
          <w:u w:val="single"/>
        </w:rPr>
      </w:pPr>
    </w:p>
    <w:p w14:paraId="4CE335AE" w14:textId="16BF98DE" w:rsidR="004D119A" w:rsidRDefault="00535EFD" w:rsidP="00EE24D7">
      <w:pPr>
        <w:ind w:left="284" w:firstLine="0"/>
        <w:jc w:val="both"/>
        <w:rPr>
          <w:color w:val="2E74B5" w:themeColor="accent5" w:themeShade="BF"/>
        </w:rPr>
      </w:pPr>
      <w:r>
        <w:rPr>
          <w:b/>
          <w:u w:val="single"/>
        </w:rPr>
        <w:t>Data Backup</w:t>
      </w:r>
      <w:r w:rsidRPr="007D0FDA">
        <w:rPr>
          <w:b/>
          <w:u w:val="single"/>
        </w:rPr>
        <w:t>:</w:t>
      </w:r>
      <w:r>
        <w:rPr>
          <w:b/>
        </w:rPr>
        <w:t xml:space="preserve"> </w:t>
      </w:r>
      <w:r w:rsidRPr="00535EFD">
        <w:t xml:space="preserve">data </w:t>
      </w:r>
      <w:r>
        <w:t xml:space="preserve">copied </w:t>
      </w:r>
      <w:r w:rsidRPr="00535EFD">
        <w:t>to a second location, solely for the purpose of safe keeping of that data</w:t>
      </w:r>
    </w:p>
    <w:p w14:paraId="7FFE0D32" w14:textId="77777777" w:rsidR="00514A3C" w:rsidRDefault="00514A3C" w:rsidP="00EE24D7">
      <w:pPr>
        <w:ind w:left="284" w:firstLine="0"/>
        <w:jc w:val="both"/>
        <w:rPr>
          <w:b/>
          <w:u w:val="single"/>
        </w:rPr>
      </w:pPr>
    </w:p>
    <w:p w14:paraId="438F274E" w14:textId="08996681" w:rsidR="006A19C4" w:rsidRPr="00C42D44" w:rsidRDefault="006A19C4" w:rsidP="00EE24D7">
      <w:pPr>
        <w:ind w:left="284" w:firstLine="0"/>
        <w:jc w:val="both"/>
      </w:pPr>
      <w:r>
        <w:rPr>
          <w:b/>
          <w:u w:val="single"/>
        </w:rPr>
        <w:t>Data Encryption</w:t>
      </w:r>
      <w:r w:rsidR="00405EBC" w:rsidRPr="007D0FDA">
        <w:rPr>
          <w:b/>
          <w:u w:val="single"/>
        </w:rPr>
        <w:t>:</w:t>
      </w:r>
      <w:r w:rsidR="00405EBC">
        <w:rPr>
          <w:b/>
        </w:rPr>
        <w:t xml:space="preserve"> </w:t>
      </w:r>
      <w:r>
        <w:t>t</w:t>
      </w:r>
      <w:r w:rsidRPr="006A19C4">
        <w:t>he process of encoding data with an algorithm so that it is unintelligible and secure without the key. Used to protect data duri</w:t>
      </w:r>
      <w:r>
        <w:t>ng transmission or while stored</w:t>
      </w:r>
    </w:p>
    <w:p w14:paraId="3B2CDB86" w14:textId="77777777" w:rsidR="00514A3C" w:rsidRDefault="00514A3C" w:rsidP="00EE24D7">
      <w:pPr>
        <w:ind w:left="284" w:firstLine="0"/>
        <w:jc w:val="both"/>
        <w:rPr>
          <w:b/>
          <w:u w:val="single"/>
        </w:rPr>
      </w:pPr>
    </w:p>
    <w:p w14:paraId="6E3113EB" w14:textId="66BD0893" w:rsidR="004D119A" w:rsidRDefault="006A19C4" w:rsidP="00EE24D7">
      <w:pPr>
        <w:ind w:left="284" w:firstLine="0"/>
        <w:jc w:val="both"/>
        <w:rPr>
          <w:color w:val="2E74B5" w:themeColor="accent5" w:themeShade="BF"/>
        </w:rPr>
      </w:pPr>
      <w:r>
        <w:rPr>
          <w:b/>
          <w:u w:val="single"/>
        </w:rPr>
        <w:t>Data Encryption Key</w:t>
      </w:r>
      <w:r w:rsidRPr="007D0FDA">
        <w:rPr>
          <w:b/>
          <w:u w:val="single"/>
        </w:rPr>
        <w:t>:</w:t>
      </w:r>
      <w:r>
        <w:rPr>
          <w:b/>
        </w:rPr>
        <w:t xml:space="preserve"> </w:t>
      </w:r>
      <w:r>
        <w:t>a</w:t>
      </w:r>
      <w:r w:rsidRPr="006A19C4">
        <w:t>n alphanumeric series of characters that enables data to be encrypted and decrypted</w:t>
      </w:r>
    </w:p>
    <w:sectPr w:rsidR="004D119A" w:rsidSect="00EE24D7">
      <w:headerReference w:type="default" r:id="rId11"/>
      <w:footerReference w:type="even" r:id="rId12"/>
      <w:footerReference w:type="default" r:id="rId13"/>
      <w:headerReference w:type="first" r:id="rId14"/>
      <w:pgSz w:w="11906" w:h="16838" w:code="9"/>
      <w:pgMar w:top="851" w:right="849" w:bottom="1701" w:left="851" w:header="284"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D2D7" w14:textId="77777777" w:rsidR="00970B07" w:rsidRDefault="00970B07" w:rsidP="00711F72">
      <w:r>
        <w:separator/>
      </w:r>
    </w:p>
  </w:endnote>
  <w:endnote w:type="continuationSeparator" w:id="0">
    <w:p w14:paraId="150179A7" w14:textId="77777777" w:rsidR="00970B07" w:rsidRDefault="00970B0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ush Script MT">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499914"/>
      <w:docPartObj>
        <w:docPartGallery w:val="Page Numbers (Bottom of Page)"/>
        <w:docPartUnique/>
      </w:docPartObj>
    </w:sdtPr>
    <w:sdtContent>
      <w:p w14:paraId="125BF5E2" w14:textId="77777777" w:rsidR="00C42D44" w:rsidRDefault="00C42D44" w:rsidP="00633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49221" w14:textId="77777777" w:rsidR="00C42D44" w:rsidRDefault="00C42D44" w:rsidP="00C42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95492"/>
      <w:docPartObj>
        <w:docPartGallery w:val="Page Numbers (Bottom of Page)"/>
        <w:docPartUnique/>
      </w:docPartObj>
    </w:sdtPr>
    <w:sdtContent>
      <w:p w14:paraId="204AE41B" w14:textId="77777777" w:rsidR="00C42D44" w:rsidRDefault="00C42D44" w:rsidP="00633A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7D37">
          <w:rPr>
            <w:rStyle w:val="PageNumber"/>
            <w:noProof/>
          </w:rPr>
          <w:t>1</w:t>
        </w:r>
        <w:r>
          <w:rPr>
            <w:rStyle w:val="PageNumber"/>
          </w:rPr>
          <w:fldChar w:fldCharType="end"/>
        </w:r>
      </w:p>
    </w:sdtContent>
  </w:sdt>
  <w:p w14:paraId="741DB3A7" w14:textId="77777777" w:rsidR="00815A04" w:rsidRPr="001831A7" w:rsidRDefault="00000000" w:rsidP="00C42D44">
    <w:pPr>
      <w:pStyle w:val="Footer"/>
      <w:tabs>
        <w:tab w:val="clear" w:pos="9026"/>
        <w:tab w:val="right" w:pos="10065"/>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FAEA" w14:textId="77777777" w:rsidR="00970B07" w:rsidRDefault="00970B07" w:rsidP="00711F72">
      <w:r>
        <w:separator/>
      </w:r>
    </w:p>
  </w:footnote>
  <w:footnote w:type="continuationSeparator" w:id="0">
    <w:p w14:paraId="57C6E1AC" w14:textId="77777777" w:rsidR="00970B07" w:rsidRDefault="00970B07"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22BB" w14:textId="61174233" w:rsidR="003B5892" w:rsidRPr="003B5892" w:rsidRDefault="003B5892" w:rsidP="003B5892">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B8E7" w14:textId="53011B51" w:rsidR="00514A3C" w:rsidRDefault="00514A3C" w:rsidP="00EE24D7">
    <w:pPr>
      <w:pStyle w:val="Header"/>
      <w:ind w:firstLine="567"/>
      <w:jc w:val="right"/>
    </w:pPr>
    <w:r>
      <w:rPr>
        <w:noProof/>
      </w:rPr>
      <mc:AlternateContent>
        <mc:Choice Requires="wpg">
          <w:drawing>
            <wp:anchor distT="0" distB="0" distL="228600" distR="228600" simplePos="0" relativeHeight="251658240" behindDoc="0" locked="0" layoutInCell="1" allowOverlap="1" wp14:anchorId="6C81D40E" wp14:editId="384148E8">
              <wp:simplePos x="0" y="0"/>
              <wp:positionH relativeFrom="page">
                <wp:posOffset>309563</wp:posOffset>
              </wp:positionH>
              <wp:positionV relativeFrom="page">
                <wp:posOffset>238125</wp:posOffset>
              </wp:positionV>
              <wp:extent cx="3133176" cy="1490663"/>
              <wp:effectExtent l="0" t="0" r="10160" b="14605"/>
              <wp:wrapSquare wrapText="bothSides"/>
              <wp:docPr id="173" name="Group 173"/>
              <wp:cNvGraphicFramePr/>
              <a:graphic xmlns:a="http://schemas.openxmlformats.org/drawingml/2006/main">
                <a:graphicData uri="http://schemas.microsoft.com/office/word/2010/wordprocessingGroup">
                  <wpg:wgp>
                    <wpg:cNvGrpSpPr/>
                    <wpg:grpSpPr>
                      <a:xfrm>
                        <a:off x="0" y="0"/>
                        <a:ext cx="3133176" cy="1490663"/>
                        <a:chOff x="-1862213" y="-4088553"/>
                        <a:chExt cx="4908677" cy="4166427"/>
                      </a:xfrm>
                    </wpg:grpSpPr>
                    <wps:wsp>
                      <wps:cNvPr id="174" name="Rectangle 174"/>
                      <wps:cNvSpPr/>
                      <wps:spPr>
                        <a:xfrm>
                          <a:off x="-1600264" y="-2327482"/>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1862213" y="-4088553"/>
                          <a:ext cx="3715730" cy="2748070"/>
                          <a:chOff x="-990165" y="-5055512"/>
                          <a:chExt cx="2431839" cy="3382240"/>
                        </a:xfrm>
                      </wpg:grpSpPr>
                      <wps:wsp>
                        <wps:cNvPr id="176" name="Rectangle 10"/>
                        <wps:cNvSpPr/>
                        <wps:spPr>
                          <a:xfrm>
                            <a:off x="-990165" y="-5055512"/>
                            <a:ext cx="2431839" cy="338224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787556" y="-3221938"/>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5656" y="-3634111"/>
                          <a:ext cx="2980808" cy="3711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2AB61" w14:textId="77777777" w:rsidR="00EE24D7" w:rsidRPr="00EE24D7" w:rsidRDefault="00EE24D7" w:rsidP="00EE24D7">
                            <w:pPr>
                              <w:ind w:left="504"/>
                              <w:jc w:val="right"/>
                              <w:rPr>
                                <w:rFonts w:ascii="Brush Script MT" w:hAnsi="Brush Script MT" w:cs="Arial"/>
                                <w:color w:val="4D5156"/>
                                <w:sz w:val="28"/>
                                <w:szCs w:val="28"/>
                                <w:shd w:val="clear" w:color="auto" w:fill="FFFFFF"/>
                              </w:rPr>
                            </w:pPr>
                            <w:r w:rsidRPr="00EE24D7">
                              <w:rPr>
                                <w:rFonts w:ascii="Brush Script MT" w:hAnsi="Brush Script MT" w:cs="Arial"/>
                                <w:color w:val="4D5156"/>
                                <w:sz w:val="28"/>
                                <w:szCs w:val="28"/>
                                <w:shd w:val="clear" w:color="auto" w:fill="FFFFFF"/>
                              </w:rPr>
                              <w:t>1st Floor, Beech House, Millenium Park, Osbertown, Naas, Co Kildare, </w:t>
                            </w:r>
                          </w:p>
                          <w:p w14:paraId="6206C3C7" w14:textId="00932658" w:rsidR="00514A3C" w:rsidRDefault="00EE24D7" w:rsidP="00EE24D7">
                            <w:pPr>
                              <w:ind w:left="504"/>
                              <w:jc w:val="right"/>
                              <w:rPr>
                                <w:smallCaps/>
                                <w:color w:val="ED7D31" w:themeColor="accent2"/>
                                <w:sz w:val="28"/>
                                <w:szCs w:val="24"/>
                              </w:rPr>
                            </w:pPr>
                            <w:r w:rsidRPr="00EE24D7">
                              <w:rPr>
                                <w:rFonts w:ascii="Brush Script MT" w:hAnsi="Brush Script MT" w:cs="Arial"/>
                                <w:b/>
                                <w:bCs/>
                                <w:color w:val="5F6368"/>
                                <w:sz w:val="28"/>
                                <w:szCs w:val="28"/>
                                <w:shd w:val="clear" w:color="auto" w:fill="FFFFFF"/>
                              </w:rPr>
                              <w:t>Ireland</w:t>
                            </w:r>
                            <w:r w:rsidRPr="00EE24D7">
                              <w:rPr>
                                <w:rFonts w:ascii="Arial" w:hAnsi="Arial" w:cs="Arial"/>
                                <w:color w:val="4D5156"/>
                                <w:sz w:val="21"/>
                                <w:szCs w:val="21"/>
                                <w:shd w:val="clear" w:color="auto" w:fill="FFFFFF"/>
                              </w:rPr>
                              <w:t>.</w:t>
                            </w:r>
                          </w:p>
                          <w:p w14:paraId="38919E08" w14:textId="2EA810A4" w:rsidR="00514A3C" w:rsidRDefault="00514A3C">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81D40E" id="Group 173" o:spid="_x0000_s1026" style="position:absolute;left:0;text-align:left;margin-left:24.4pt;margin-top:18.75pt;width:246.7pt;height:117.4pt;z-index:251658240;mso-wrap-distance-left:18pt;mso-wrap-distance-right:18pt;mso-position-horizontal-relative:page;mso-position-vertical-relative:page;mso-width-relative:margin;mso-height-relative:margin" coordorigin="-18622,-40885" coordsize="49086,4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">
              <v:rect id="Rectangle 174" o:spid="_x0000_s1027" style="position:absolute;left:-16002;top:-23274;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" fillcolor="white [3212]" stroked="f" strokeweight="1pt">
                <v:fill opacity="0"/>
              </v:rect>
              <v:group id="Group 175" o:spid="_x0000_s1028" style="position:absolute;left:-18622;top:-40885;width:37157;height:27481" coordorigin="-9901,-50555" coordsize="24318,3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">
                <v:shape id="Rectangle 10" o:spid="_x0000_s1029" style="position:absolute;left:-9901;top:-50555;width:24317;height:338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" path="m,l2240281,,1659256,222885,,822960,,xe" fillcolor="#4472c4 [3204]" stroked="f" strokeweight="1pt">
                  <v:stroke joinstyle="miter"/>
                  <v:path arrowok="t" o:connecttype="custom" o:connectlocs="0,0;2431839,0;1801133,916023;0,3382240;0,0" o:connectangles="0,0,0,0,0"/>
                </v:shape>
                <v:rect id="Rectangle 177" o:spid="_x0000_s1030" style="position:absolute;left:-7875;top:-32219;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" stroked="f" strokeweight="1pt">
                  <v:fill r:id="rId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656;top:-36341;width:29808;height:3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" filled="f" stroked="f" strokeweight=".5pt">
                <v:textbox inset="3.6pt,7.2pt,0,0">
                  <w:txbxContent>
                    <w:p w14:paraId="2832AB61" w14:textId="77777777" w:rsidR="00EE24D7" w:rsidRPr="00EE24D7" w:rsidRDefault="00EE24D7" w:rsidP="00EE24D7">
                      <w:pPr>
                        <w:ind w:left="504"/>
                        <w:jc w:val="right"/>
                        <w:rPr>
                          <w:rFonts w:ascii="Brush Script MT" w:hAnsi="Brush Script MT" w:cs="Arial"/>
                          <w:color w:val="4D5156"/>
                          <w:sz w:val="28"/>
                          <w:szCs w:val="28"/>
                          <w:shd w:val="clear" w:color="auto" w:fill="FFFFFF"/>
                        </w:rPr>
                      </w:pPr>
                      <w:r w:rsidRPr="00EE24D7">
                        <w:rPr>
                          <w:rFonts w:ascii="Brush Script MT" w:hAnsi="Brush Script MT" w:cs="Arial"/>
                          <w:color w:val="4D5156"/>
                          <w:sz w:val="28"/>
                          <w:szCs w:val="28"/>
                          <w:shd w:val="clear" w:color="auto" w:fill="FFFFFF"/>
                        </w:rPr>
                        <w:t xml:space="preserve">1st Floor, Beech House, </w:t>
                      </w:r>
                      <w:proofErr w:type="spellStart"/>
                      <w:r w:rsidRPr="00EE24D7">
                        <w:rPr>
                          <w:rFonts w:ascii="Brush Script MT" w:hAnsi="Brush Script MT" w:cs="Arial"/>
                          <w:color w:val="4D5156"/>
                          <w:sz w:val="28"/>
                          <w:szCs w:val="28"/>
                          <w:shd w:val="clear" w:color="auto" w:fill="FFFFFF"/>
                        </w:rPr>
                        <w:t>Millenium</w:t>
                      </w:r>
                      <w:proofErr w:type="spellEnd"/>
                      <w:r w:rsidRPr="00EE24D7">
                        <w:rPr>
                          <w:rFonts w:ascii="Brush Script MT" w:hAnsi="Brush Script MT" w:cs="Arial"/>
                          <w:color w:val="4D5156"/>
                          <w:sz w:val="28"/>
                          <w:szCs w:val="28"/>
                          <w:shd w:val="clear" w:color="auto" w:fill="FFFFFF"/>
                        </w:rPr>
                        <w:t xml:space="preserve"> Park, </w:t>
                      </w:r>
                      <w:proofErr w:type="spellStart"/>
                      <w:r w:rsidRPr="00EE24D7">
                        <w:rPr>
                          <w:rFonts w:ascii="Brush Script MT" w:hAnsi="Brush Script MT" w:cs="Arial"/>
                          <w:color w:val="4D5156"/>
                          <w:sz w:val="28"/>
                          <w:szCs w:val="28"/>
                          <w:shd w:val="clear" w:color="auto" w:fill="FFFFFF"/>
                        </w:rPr>
                        <w:t>Osbertown</w:t>
                      </w:r>
                      <w:proofErr w:type="spellEnd"/>
                      <w:r w:rsidRPr="00EE24D7">
                        <w:rPr>
                          <w:rFonts w:ascii="Brush Script MT" w:hAnsi="Brush Script MT" w:cs="Arial"/>
                          <w:color w:val="4D5156"/>
                          <w:sz w:val="28"/>
                          <w:szCs w:val="28"/>
                          <w:shd w:val="clear" w:color="auto" w:fill="FFFFFF"/>
                        </w:rPr>
                        <w:t>, Naas, Co Kildare, </w:t>
                      </w:r>
                    </w:p>
                    <w:p w14:paraId="6206C3C7" w14:textId="00932658" w:rsidR="00514A3C" w:rsidRDefault="00EE24D7" w:rsidP="00EE24D7">
                      <w:pPr>
                        <w:ind w:left="504"/>
                        <w:jc w:val="right"/>
                        <w:rPr>
                          <w:smallCaps/>
                          <w:color w:val="ED7D31" w:themeColor="accent2"/>
                          <w:sz w:val="28"/>
                          <w:szCs w:val="24"/>
                        </w:rPr>
                      </w:pPr>
                      <w:r w:rsidRPr="00EE24D7">
                        <w:rPr>
                          <w:rFonts w:ascii="Brush Script MT" w:hAnsi="Brush Script MT" w:cs="Arial"/>
                          <w:b/>
                          <w:bCs/>
                          <w:color w:val="5F6368"/>
                          <w:sz w:val="28"/>
                          <w:szCs w:val="28"/>
                          <w:shd w:val="clear" w:color="auto" w:fill="FFFFFF"/>
                        </w:rPr>
                        <w:t>Ireland</w:t>
                      </w:r>
                      <w:r w:rsidRPr="00EE24D7">
                        <w:rPr>
                          <w:rFonts w:ascii="Arial" w:hAnsi="Arial" w:cs="Arial"/>
                          <w:color w:val="4D5156"/>
                          <w:sz w:val="21"/>
                          <w:szCs w:val="21"/>
                          <w:shd w:val="clear" w:color="auto" w:fill="FFFFFF"/>
                        </w:rPr>
                        <w:t>.</w:t>
                      </w:r>
                    </w:p>
                    <w:p w14:paraId="38919E08" w14:textId="2EA810A4" w:rsidR="00514A3C" w:rsidRDefault="00514A3C">
                      <w:pPr>
                        <w:pStyle w:val="NoSpacing"/>
                        <w:ind w:left="360"/>
                        <w:jc w:val="right"/>
                        <w:rPr>
                          <w:color w:val="4472C4" w:themeColor="accent1"/>
                          <w:sz w:val="20"/>
                          <w:szCs w:val="20"/>
                        </w:rPr>
                      </w:pPr>
                    </w:p>
                  </w:txbxContent>
                </v:textbox>
              </v:shape>
              <w10:wrap type="square" anchorx="page" anchory="page"/>
            </v:group>
          </w:pict>
        </mc:Fallback>
      </mc:AlternateContent>
    </w:r>
    <w:r>
      <w:rPr>
        <w:noProof/>
      </w:rPr>
      <w:drawing>
        <wp:inline distT="0" distB="0" distL="0" distR="0" wp14:anchorId="007E34AB" wp14:editId="04B74098">
          <wp:extent cx="2143125" cy="2143125"/>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D00"/>
    <w:multiLevelType w:val="multilevel"/>
    <w:tmpl w:val="6AC6989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7526203"/>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2" w15:restartNumberingAfterBreak="0">
    <w:nsid w:val="1B5F4300"/>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F5A08D6"/>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4" w15:restartNumberingAfterBreak="0">
    <w:nsid w:val="22195F34"/>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616586A"/>
    <w:multiLevelType w:val="multilevel"/>
    <w:tmpl w:val="38BCF256"/>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7" w15:restartNumberingAfterBreak="0">
    <w:nsid w:val="36C7203A"/>
    <w:multiLevelType w:val="hybridMultilevel"/>
    <w:tmpl w:val="06D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AB7828"/>
    <w:multiLevelType w:val="multilevel"/>
    <w:tmpl w:val="15B04A54"/>
    <w:lvl w:ilvl="0">
      <w:start w:val="1"/>
      <w:numFmt w:val="decimal"/>
      <w:lvlText w:val="%1"/>
      <w:lvlJc w:val="left"/>
      <w:pPr>
        <w:ind w:left="570" w:hanging="570"/>
      </w:pPr>
      <w:rPr>
        <w:rFonts w:hint="default"/>
        <w:color w:val="auto"/>
      </w:rPr>
    </w:lvl>
    <w:lvl w:ilvl="1">
      <w:start w:val="1"/>
      <w:numFmt w:val="bullet"/>
      <w:lvlText w:val=""/>
      <w:lvlJc w:val="left"/>
      <w:pPr>
        <w:ind w:left="570" w:hanging="570"/>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1446775"/>
    <w:multiLevelType w:val="multilevel"/>
    <w:tmpl w:val="9F2E17F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39A572C"/>
    <w:multiLevelType w:val="multilevel"/>
    <w:tmpl w:val="6FB26702"/>
    <w:lvl w:ilvl="0">
      <w:start w:val="1"/>
      <w:numFmt w:val="bullet"/>
      <w:lvlText w:val=""/>
      <w:lvlJc w:val="left"/>
      <w:pPr>
        <w:ind w:left="1137" w:hanging="570"/>
      </w:pPr>
      <w:rPr>
        <w:rFonts w:ascii="Symbol" w:hAnsi="Symbol" w:hint="default"/>
        <w:color w:val="auto"/>
      </w:rPr>
    </w:lvl>
    <w:lvl w:ilvl="1">
      <w:start w:val="1"/>
      <w:numFmt w:val="bullet"/>
      <w:lvlText w:val=""/>
      <w:lvlJc w:val="left"/>
      <w:pPr>
        <w:ind w:left="1137" w:hanging="570"/>
      </w:pPr>
      <w:rPr>
        <w:rFonts w:ascii="Symbol" w:hAnsi="Symbol"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287" w:hanging="720"/>
      </w:pPr>
      <w:rPr>
        <w:rFonts w:hint="default"/>
        <w:color w:val="auto"/>
      </w:rPr>
    </w:lvl>
    <w:lvl w:ilvl="4">
      <w:start w:val="1"/>
      <w:numFmt w:val="decimal"/>
      <w:lvlText w:val="%1.%2.%3.%4.%5"/>
      <w:lvlJc w:val="left"/>
      <w:pPr>
        <w:ind w:left="1647" w:hanging="1080"/>
      </w:pPr>
      <w:rPr>
        <w:rFonts w:hint="default"/>
        <w:color w:val="auto"/>
      </w:rPr>
    </w:lvl>
    <w:lvl w:ilvl="5">
      <w:start w:val="1"/>
      <w:numFmt w:val="decimal"/>
      <w:lvlText w:val="%1.%2.%3.%4.%5.%6"/>
      <w:lvlJc w:val="left"/>
      <w:pPr>
        <w:ind w:left="1647" w:hanging="1080"/>
      </w:pPr>
      <w:rPr>
        <w:rFonts w:hint="default"/>
        <w:color w:val="auto"/>
      </w:rPr>
    </w:lvl>
    <w:lvl w:ilvl="6">
      <w:start w:val="1"/>
      <w:numFmt w:val="decimal"/>
      <w:lvlText w:val="%1.%2.%3.%4.%5.%6.%7"/>
      <w:lvlJc w:val="left"/>
      <w:pPr>
        <w:ind w:left="2007" w:hanging="1440"/>
      </w:pPr>
      <w:rPr>
        <w:rFonts w:hint="default"/>
        <w:color w:val="auto"/>
      </w:rPr>
    </w:lvl>
    <w:lvl w:ilvl="7">
      <w:start w:val="1"/>
      <w:numFmt w:val="decimal"/>
      <w:lvlText w:val="%1.%2.%3.%4.%5.%6.%7.%8"/>
      <w:lvlJc w:val="left"/>
      <w:pPr>
        <w:ind w:left="2007" w:hanging="1440"/>
      </w:pPr>
      <w:rPr>
        <w:rFonts w:hint="default"/>
        <w:color w:val="auto"/>
      </w:rPr>
    </w:lvl>
    <w:lvl w:ilvl="8">
      <w:start w:val="1"/>
      <w:numFmt w:val="decimal"/>
      <w:lvlText w:val="%1.%2.%3.%4.%5.%6.%7.%8.%9"/>
      <w:lvlJc w:val="left"/>
      <w:pPr>
        <w:ind w:left="2367" w:hanging="1800"/>
      </w:pPr>
      <w:rPr>
        <w:rFonts w:hint="default"/>
        <w:color w:val="auto"/>
      </w:rPr>
    </w:lvl>
  </w:abstractNum>
  <w:abstractNum w:abstractNumId="13"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182620">
    <w:abstractNumId w:val="10"/>
  </w:num>
  <w:num w:numId="2" w16cid:durableId="1209103349">
    <w:abstractNumId w:val="13"/>
  </w:num>
  <w:num w:numId="3" w16cid:durableId="1897156060">
    <w:abstractNumId w:val="16"/>
  </w:num>
  <w:num w:numId="4" w16cid:durableId="423188197">
    <w:abstractNumId w:val="8"/>
  </w:num>
  <w:num w:numId="5" w16cid:durableId="1424111786">
    <w:abstractNumId w:val="6"/>
  </w:num>
  <w:num w:numId="6" w16cid:durableId="1698968208">
    <w:abstractNumId w:val="14"/>
  </w:num>
  <w:num w:numId="7" w16cid:durableId="1565065931">
    <w:abstractNumId w:val="11"/>
  </w:num>
  <w:num w:numId="8" w16cid:durableId="1569997429">
    <w:abstractNumId w:val="15"/>
  </w:num>
  <w:num w:numId="9" w16cid:durableId="1299990050">
    <w:abstractNumId w:val="7"/>
  </w:num>
  <w:num w:numId="10" w16cid:durableId="652877863">
    <w:abstractNumId w:val="2"/>
  </w:num>
  <w:num w:numId="11" w16cid:durableId="881020541">
    <w:abstractNumId w:val="4"/>
  </w:num>
  <w:num w:numId="12" w16cid:durableId="1864705312">
    <w:abstractNumId w:val="9"/>
  </w:num>
  <w:num w:numId="13" w16cid:durableId="1701201932">
    <w:abstractNumId w:val="3"/>
  </w:num>
  <w:num w:numId="14" w16cid:durableId="353462487">
    <w:abstractNumId w:val="12"/>
  </w:num>
  <w:num w:numId="15" w16cid:durableId="815099787">
    <w:abstractNumId w:val="1"/>
  </w:num>
  <w:num w:numId="16" w16cid:durableId="242884570">
    <w:abstractNumId w:val="0"/>
  </w:num>
  <w:num w:numId="17" w16cid:durableId="1613321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0B"/>
    <w:rsid w:val="00016647"/>
    <w:rsid w:val="00020AFA"/>
    <w:rsid w:val="00022E20"/>
    <w:rsid w:val="000B6EB4"/>
    <w:rsid w:val="000D611F"/>
    <w:rsid w:val="000E7E94"/>
    <w:rsid w:val="000F3AD7"/>
    <w:rsid w:val="0010735C"/>
    <w:rsid w:val="001442DC"/>
    <w:rsid w:val="001748E1"/>
    <w:rsid w:val="00175C80"/>
    <w:rsid w:val="001857F3"/>
    <w:rsid w:val="001C3249"/>
    <w:rsid w:val="001C769A"/>
    <w:rsid w:val="001D5887"/>
    <w:rsid w:val="001D6BE2"/>
    <w:rsid w:val="001F5200"/>
    <w:rsid w:val="001F579E"/>
    <w:rsid w:val="001F7D59"/>
    <w:rsid w:val="0020412B"/>
    <w:rsid w:val="00205A34"/>
    <w:rsid w:val="00207D30"/>
    <w:rsid w:val="0021796D"/>
    <w:rsid w:val="0026704F"/>
    <w:rsid w:val="00296400"/>
    <w:rsid w:val="002B06FC"/>
    <w:rsid w:val="002B4A3F"/>
    <w:rsid w:val="002D4C4C"/>
    <w:rsid w:val="00304F3A"/>
    <w:rsid w:val="00306100"/>
    <w:rsid w:val="00326287"/>
    <w:rsid w:val="0035459E"/>
    <w:rsid w:val="00364DE6"/>
    <w:rsid w:val="003723BB"/>
    <w:rsid w:val="003B5892"/>
    <w:rsid w:val="003C1F97"/>
    <w:rsid w:val="003C5C73"/>
    <w:rsid w:val="003C62A2"/>
    <w:rsid w:val="00405EBC"/>
    <w:rsid w:val="00430C6B"/>
    <w:rsid w:val="00431BE3"/>
    <w:rsid w:val="00451D9C"/>
    <w:rsid w:val="00464569"/>
    <w:rsid w:val="00471DB5"/>
    <w:rsid w:val="00494FAC"/>
    <w:rsid w:val="004B43DE"/>
    <w:rsid w:val="004D119A"/>
    <w:rsid w:val="004E6FB8"/>
    <w:rsid w:val="00514A3C"/>
    <w:rsid w:val="005300F0"/>
    <w:rsid w:val="00533B22"/>
    <w:rsid w:val="00535EFD"/>
    <w:rsid w:val="00563B95"/>
    <w:rsid w:val="00577DE4"/>
    <w:rsid w:val="005B1AB0"/>
    <w:rsid w:val="005C346F"/>
    <w:rsid w:val="005E0C12"/>
    <w:rsid w:val="005E4264"/>
    <w:rsid w:val="005E45C8"/>
    <w:rsid w:val="00611CF2"/>
    <w:rsid w:val="00637FF5"/>
    <w:rsid w:val="00663780"/>
    <w:rsid w:val="0067364C"/>
    <w:rsid w:val="006835A6"/>
    <w:rsid w:val="006A19C4"/>
    <w:rsid w:val="006A70E1"/>
    <w:rsid w:val="006A794F"/>
    <w:rsid w:val="006C61B8"/>
    <w:rsid w:val="006D5FD5"/>
    <w:rsid w:val="007052B9"/>
    <w:rsid w:val="00711F72"/>
    <w:rsid w:val="007531F2"/>
    <w:rsid w:val="007542B7"/>
    <w:rsid w:val="00763516"/>
    <w:rsid w:val="007726D1"/>
    <w:rsid w:val="0077435E"/>
    <w:rsid w:val="00777565"/>
    <w:rsid w:val="007B4C2A"/>
    <w:rsid w:val="007C13E6"/>
    <w:rsid w:val="007D0FDA"/>
    <w:rsid w:val="007F08BC"/>
    <w:rsid w:val="00805578"/>
    <w:rsid w:val="008114EC"/>
    <w:rsid w:val="008160B7"/>
    <w:rsid w:val="00820587"/>
    <w:rsid w:val="00823AA4"/>
    <w:rsid w:val="008456E3"/>
    <w:rsid w:val="00862BD8"/>
    <w:rsid w:val="008A1492"/>
    <w:rsid w:val="008A27CE"/>
    <w:rsid w:val="008A3B3F"/>
    <w:rsid w:val="008B12B6"/>
    <w:rsid w:val="008B6E56"/>
    <w:rsid w:val="008C35B7"/>
    <w:rsid w:val="008F740D"/>
    <w:rsid w:val="009045AF"/>
    <w:rsid w:val="00916AB8"/>
    <w:rsid w:val="009404E2"/>
    <w:rsid w:val="00940E6F"/>
    <w:rsid w:val="00957393"/>
    <w:rsid w:val="00960BE3"/>
    <w:rsid w:val="00970B07"/>
    <w:rsid w:val="00977780"/>
    <w:rsid w:val="00990E24"/>
    <w:rsid w:val="009B2BD4"/>
    <w:rsid w:val="00A07486"/>
    <w:rsid w:val="00A13FB1"/>
    <w:rsid w:val="00A27A52"/>
    <w:rsid w:val="00A3701B"/>
    <w:rsid w:val="00A509E9"/>
    <w:rsid w:val="00A55765"/>
    <w:rsid w:val="00A6015D"/>
    <w:rsid w:val="00A64B60"/>
    <w:rsid w:val="00A70C8D"/>
    <w:rsid w:val="00A77D47"/>
    <w:rsid w:val="00AE5527"/>
    <w:rsid w:val="00AE661E"/>
    <w:rsid w:val="00B0179A"/>
    <w:rsid w:val="00B01B99"/>
    <w:rsid w:val="00B1210C"/>
    <w:rsid w:val="00B915F4"/>
    <w:rsid w:val="00B92AC5"/>
    <w:rsid w:val="00B96206"/>
    <w:rsid w:val="00BA05AA"/>
    <w:rsid w:val="00BF7D37"/>
    <w:rsid w:val="00C42D44"/>
    <w:rsid w:val="00C44578"/>
    <w:rsid w:val="00C44942"/>
    <w:rsid w:val="00C61FE6"/>
    <w:rsid w:val="00C75A4D"/>
    <w:rsid w:val="00C82DBD"/>
    <w:rsid w:val="00CB0149"/>
    <w:rsid w:val="00CC2562"/>
    <w:rsid w:val="00CC3696"/>
    <w:rsid w:val="00CE2D0B"/>
    <w:rsid w:val="00D030B5"/>
    <w:rsid w:val="00D03A97"/>
    <w:rsid w:val="00D106AD"/>
    <w:rsid w:val="00D3252F"/>
    <w:rsid w:val="00D62545"/>
    <w:rsid w:val="00D7386A"/>
    <w:rsid w:val="00D75F18"/>
    <w:rsid w:val="00D94B70"/>
    <w:rsid w:val="00DA7D31"/>
    <w:rsid w:val="00DC1303"/>
    <w:rsid w:val="00DD7FB1"/>
    <w:rsid w:val="00DF35E6"/>
    <w:rsid w:val="00E01E6D"/>
    <w:rsid w:val="00E13C98"/>
    <w:rsid w:val="00E24328"/>
    <w:rsid w:val="00E26F10"/>
    <w:rsid w:val="00E2793F"/>
    <w:rsid w:val="00E36EC7"/>
    <w:rsid w:val="00E537E5"/>
    <w:rsid w:val="00E860EC"/>
    <w:rsid w:val="00EA02EF"/>
    <w:rsid w:val="00EB71D3"/>
    <w:rsid w:val="00EE24D7"/>
    <w:rsid w:val="00EF4428"/>
    <w:rsid w:val="00FA7391"/>
    <w:rsid w:val="00FB72A6"/>
    <w:rsid w:val="00FC7B1C"/>
    <w:rsid w:val="00FD79C0"/>
    <w:rsid w:val="00FE6D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542F7C"/>
  <w15:docId w15:val="{7D654A15-159C-44B9-94A5-B09384BC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EC"/>
  </w:style>
  <w:style w:type="paragraph" w:styleId="Heading1">
    <w:name w:val="heading 1"/>
    <w:basedOn w:val="Normal"/>
    <w:next w:val="Normal"/>
    <w:link w:val="Heading1Char"/>
    <w:uiPriority w:val="9"/>
    <w:qFormat/>
    <w:rsid w:val="008114EC"/>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8114EC"/>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8114EC"/>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114EC"/>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114EC"/>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114EC"/>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114EC"/>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114EC"/>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114EC"/>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8114EC"/>
    <w:rPr>
      <w:rFonts w:asciiTheme="majorHAnsi" w:eastAsiaTheme="majorEastAsia" w:hAnsiTheme="majorHAnsi" w:cstheme="majorBidi"/>
      <w:i/>
      <w:iCs/>
      <w:color w:val="1F3763" w:themeColor="accent1" w:themeShade="7F"/>
      <w:sz w:val="60"/>
      <w:szCs w:val="60"/>
    </w:rPr>
  </w:style>
  <w:style w:type="paragraph" w:styleId="Title">
    <w:name w:val="Title"/>
    <w:aliases w:val="Policy Title"/>
    <w:basedOn w:val="Normal"/>
    <w:next w:val="Normal"/>
    <w:link w:val="TitleChar"/>
    <w:uiPriority w:val="10"/>
    <w:qFormat/>
    <w:rsid w:val="008114EC"/>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39"/>
    <w:rsid w:val="00CE2D0B"/>
    <w:rPr>
      <w:rFonts w:ascii="Trebuchet MS" w:eastAsia="SimSun" w:hAnsi="Trebuchet MS"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8114EC"/>
    <w:pPr>
      <w:ind w:left="720"/>
      <w:contextualSpacing/>
    </w:pPr>
  </w:style>
  <w:style w:type="character" w:customStyle="1" w:styleId="Heading2Char">
    <w:name w:val="Heading 2 Char"/>
    <w:basedOn w:val="DefaultParagraphFont"/>
    <w:link w:val="Heading2"/>
    <w:uiPriority w:val="9"/>
    <w:rsid w:val="008114EC"/>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114EC"/>
    <w:rPr>
      <w:rFonts w:asciiTheme="majorHAnsi" w:eastAsiaTheme="majorEastAsia" w:hAnsiTheme="majorHAnsi" w:cstheme="majorBidi"/>
      <w:color w:val="4472C4" w:themeColor="accent1"/>
      <w:sz w:val="24"/>
      <w:szCs w:val="24"/>
    </w:rPr>
  </w:style>
  <w:style w:type="character" w:customStyle="1" w:styleId="Heading1Char">
    <w:name w:val="Heading 1 Char"/>
    <w:basedOn w:val="DefaultParagraphFont"/>
    <w:link w:val="Heading1"/>
    <w:uiPriority w:val="9"/>
    <w:rsid w:val="008114EC"/>
    <w:rPr>
      <w:rFonts w:asciiTheme="majorHAnsi" w:eastAsiaTheme="majorEastAsia" w:hAnsiTheme="majorHAnsi" w:cstheme="majorBidi"/>
      <w:b/>
      <w:bCs/>
      <w:color w:val="2F5496" w:themeColor="accent1" w:themeShade="BF"/>
      <w:sz w:val="24"/>
      <w:szCs w:val="24"/>
    </w:rPr>
  </w:style>
  <w:style w:type="paragraph" w:styleId="Footer">
    <w:name w:val="footer"/>
    <w:basedOn w:val="Normal"/>
    <w:link w:val="FooterChar"/>
    <w:uiPriority w:val="99"/>
    <w:unhideWhenUsed/>
    <w:rsid w:val="00CE2D0B"/>
    <w:pPr>
      <w:tabs>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8114EC"/>
    <w:pPr>
      <w:outlineLvl w:val="9"/>
    </w:pPr>
  </w:style>
  <w:style w:type="paragraph" w:styleId="TOC1">
    <w:name w:val="toc 1"/>
    <w:basedOn w:val="Normal"/>
    <w:next w:val="Normal"/>
    <w:autoRedefine/>
    <w:uiPriority w:val="39"/>
    <w:unhideWhenUsed/>
    <w:rsid w:val="00820587"/>
    <w:pPr>
      <w:tabs>
        <w:tab w:val="right" w:leader="dot" w:pos="10194"/>
      </w:tabs>
      <w:spacing w:after="40"/>
      <w:ind w:left="425" w:hanging="425"/>
    </w:pPr>
  </w:style>
  <w:style w:type="paragraph" w:styleId="TOC2">
    <w:name w:val="toc 2"/>
    <w:basedOn w:val="Normal"/>
    <w:next w:val="Normal"/>
    <w:autoRedefine/>
    <w:uiPriority w:val="39"/>
    <w:unhideWhenUsed/>
    <w:rsid w:val="008A1492"/>
    <w:pPr>
      <w:tabs>
        <w:tab w:val="right" w:leader="dot" w:pos="10194"/>
      </w:tabs>
      <w:spacing w:after="40"/>
      <w:ind w:left="850" w:hanging="425"/>
    </w:pPr>
  </w:style>
  <w:style w:type="paragraph" w:styleId="TOC3">
    <w:name w:val="toc 3"/>
    <w:basedOn w:val="Normal"/>
    <w:next w:val="Normal"/>
    <w:autoRedefine/>
    <w:uiPriority w:val="39"/>
    <w:unhideWhenUsed/>
    <w:rsid w:val="008A1492"/>
    <w:pPr>
      <w:tabs>
        <w:tab w:val="right" w:leader="dot" w:pos="10194"/>
      </w:tabs>
      <w:spacing w:after="40"/>
      <w:ind w:left="993" w:hanging="284"/>
    </w:pPr>
  </w:style>
  <w:style w:type="paragraph" w:styleId="NoSpacing">
    <w:name w:val="No Spacing"/>
    <w:basedOn w:val="Normal"/>
    <w:link w:val="NoSpacingChar"/>
    <w:uiPriority w:val="1"/>
    <w:qFormat/>
    <w:rsid w:val="008114EC"/>
    <w:pPr>
      <w:ind w:firstLine="0"/>
    </w:pPr>
  </w:style>
  <w:style w:type="character" w:customStyle="1" w:styleId="Heading4Char">
    <w:name w:val="Heading 4 Char"/>
    <w:basedOn w:val="DefaultParagraphFont"/>
    <w:link w:val="Heading4"/>
    <w:uiPriority w:val="9"/>
    <w:semiHidden/>
    <w:rsid w:val="008114EC"/>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114EC"/>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114EC"/>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114EC"/>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114EC"/>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114EC"/>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114EC"/>
    <w:rPr>
      <w:b/>
      <w:bCs/>
      <w:sz w:val="18"/>
      <w:szCs w:val="18"/>
    </w:rPr>
  </w:style>
  <w:style w:type="paragraph" w:styleId="Subtitle">
    <w:name w:val="Subtitle"/>
    <w:basedOn w:val="Normal"/>
    <w:next w:val="Normal"/>
    <w:link w:val="SubtitleChar"/>
    <w:uiPriority w:val="11"/>
    <w:qFormat/>
    <w:rsid w:val="008114E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114EC"/>
    <w:rPr>
      <w:i/>
      <w:iCs/>
      <w:sz w:val="24"/>
      <w:szCs w:val="24"/>
    </w:rPr>
  </w:style>
  <w:style w:type="character" w:styleId="Strong">
    <w:name w:val="Strong"/>
    <w:basedOn w:val="DefaultParagraphFont"/>
    <w:uiPriority w:val="22"/>
    <w:qFormat/>
    <w:rsid w:val="008114EC"/>
    <w:rPr>
      <w:b/>
      <w:bCs/>
      <w:spacing w:val="0"/>
    </w:rPr>
  </w:style>
  <w:style w:type="character" w:styleId="Emphasis">
    <w:name w:val="Emphasis"/>
    <w:uiPriority w:val="20"/>
    <w:qFormat/>
    <w:rsid w:val="008114EC"/>
    <w:rPr>
      <w:b/>
      <w:bCs/>
      <w:i/>
      <w:iCs/>
      <w:color w:val="5A5A5A" w:themeColor="text1" w:themeTint="A5"/>
    </w:rPr>
  </w:style>
  <w:style w:type="character" w:customStyle="1" w:styleId="NoSpacingChar">
    <w:name w:val="No Spacing Char"/>
    <w:basedOn w:val="DefaultParagraphFont"/>
    <w:link w:val="NoSpacing"/>
    <w:uiPriority w:val="1"/>
    <w:rsid w:val="008114EC"/>
  </w:style>
  <w:style w:type="paragraph" w:styleId="Quote">
    <w:name w:val="Quote"/>
    <w:basedOn w:val="Normal"/>
    <w:next w:val="Normal"/>
    <w:link w:val="QuoteChar"/>
    <w:uiPriority w:val="29"/>
    <w:qFormat/>
    <w:rsid w:val="008114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114E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114EC"/>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114EC"/>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114EC"/>
    <w:rPr>
      <w:i/>
      <w:iCs/>
      <w:color w:val="5A5A5A" w:themeColor="text1" w:themeTint="A5"/>
    </w:rPr>
  </w:style>
  <w:style w:type="character" w:styleId="IntenseEmphasis">
    <w:name w:val="Intense Emphasis"/>
    <w:uiPriority w:val="21"/>
    <w:qFormat/>
    <w:rsid w:val="008114EC"/>
    <w:rPr>
      <w:b/>
      <w:bCs/>
      <w:i/>
      <w:iCs/>
      <w:color w:val="4472C4" w:themeColor="accent1"/>
      <w:sz w:val="22"/>
      <w:szCs w:val="22"/>
    </w:rPr>
  </w:style>
  <w:style w:type="character" w:styleId="SubtleReference">
    <w:name w:val="Subtle Reference"/>
    <w:uiPriority w:val="31"/>
    <w:qFormat/>
    <w:rsid w:val="008114EC"/>
    <w:rPr>
      <w:color w:val="auto"/>
      <w:u w:val="single" w:color="A5A5A5" w:themeColor="accent3"/>
    </w:rPr>
  </w:style>
  <w:style w:type="character" w:styleId="IntenseReference">
    <w:name w:val="Intense Reference"/>
    <w:basedOn w:val="DefaultParagraphFont"/>
    <w:uiPriority w:val="32"/>
    <w:qFormat/>
    <w:rsid w:val="008114EC"/>
    <w:rPr>
      <w:b/>
      <w:bCs/>
      <w:color w:val="7B7B7B" w:themeColor="accent3" w:themeShade="BF"/>
      <w:u w:val="single" w:color="A5A5A5" w:themeColor="accent3"/>
    </w:rPr>
  </w:style>
  <w:style w:type="character" w:styleId="BookTitle">
    <w:name w:val="Book Title"/>
    <w:basedOn w:val="DefaultParagraphFont"/>
    <w:uiPriority w:val="33"/>
    <w:qFormat/>
    <w:rsid w:val="008114EC"/>
    <w:rPr>
      <w:rFonts w:asciiTheme="majorHAnsi" w:eastAsiaTheme="majorEastAsia" w:hAnsiTheme="majorHAnsi" w:cstheme="majorBidi"/>
      <w:b/>
      <w:bCs/>
      <w:i/>
      <w:iCs/>
      <w:color w:val="auto"/>
    </w:rPr>
  </w:style>
  <w:style w:type="paragraph" w:customStyle="1" w:styleId="PersonalName">
    <w:name w:val="Personal Name"/>
    <w:basedOn w:val="Title"/>
    <w:rsid w:val="002B4A3F"/>
    <w:rPr>
      <w:b/>
      <w:caps/>
      <w:color w:val="000000"/>
      <w:sz w:val="28"/>
      <w:szCs w:val="28"/>
    </w:rPr>
  </w:style>
  <w:style w:type="character" w:styleId="PageNumber">
    <w:name w:val="page number"/>
    <w:basedOn w:val="DefaultParagraphFont"/>
    <w:uiPriority w:val="99"/>
    <w:semiHidden/>
    <w:unhideWhenUsed/>
    <w:rsid w:val="00C4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043D-784B-4540-8C00-9D96E192EB71}">
  <ds:schemaRefs>
    <ds:schemaRef ds:uri="http://schemas.microsoft.com/sharepoint/v3/contenttype/forms"/>
  </ds:schemaRefs>
</ds:datastoreItem>
</file>

<file path=customXml/itemProps2.xml><?xml version="1.0" encoding="utf-8"?>
<ds:datastoreItem xmlns:ds="http://schemas.openxmlformats.org/officeDocument/2006/customXml" ds:itemID="{AEBE1499-AEC5-498C-9AED-A9722B4A824E}">
  <ds:schemaRefs>
    <ds:schemaRef ds:uri="http://schemas.microsoft.com/office/2006/metadata/properties"/>
    <ds:schemaRef ds:uri="http://schemas.microsoft.com/office/infopath/2007/PartnerControls"/>
    <ds:schemaRef ds:uri="3ed555b7-05b0-4e27-8e7d-4e6b48fd47a4"/>
    <ds:schemaRef ds:uri="be8380f3-f86d-4c55-ac0d-84a81eafd6a2"/>
  </ds:schemaRefs>
</ds:datastoreItem>
</file>

<file path=customXml/itemProps3.xml><?xml version="1.0" encoding="utf-8"?>
<ds:datastoreItem xmlns:ds="http://schemas.openxmlformats.org/officeDocument/2006/customXml" ds:itemID="{B2A6736C-AA4A-4443-ACC8-C9D372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2C071-3FCD-FD48-B4E6-D742BF50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GDPR Policy and Procedure Template</vt:lpstr>
    </vt:vector>
  </TitlesOfParts>
  <Company>Finagon</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Policy and Procedure Template</dc:title>
  <dc:subject/>
  <dc:creator>Finagon</dc:creator>
  <cp:keywords/>
  <dc:description/>
  <cp:lastModifiedBy>Claire Sedgeman</cp:lastModifiedBy>
  <cp:revision>2</cp:revision>
  <cp:lastPrinted>2018-05-12T14:29:00Z</cp:lastPrinted>
  <dcterms:created xsi:type="dcterms:W3CDTF">2022-11-02T12:37:00Z</dcterms:created>
  <dcterms:modified xsi:type="dcterms:W3CDTF">2022-11-02T12:37:00Z</dcterms:modified>
  <cp:category>GDPR Policy and 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